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E1131" w14:textId="0D8935F6" w:rsidR="008C1B38" w:rsidRPr="00BA775E" w:rsidRDefault="00611ED2" w:rsidP="00BA775E">
      <w:pPr>
        <w:pStyle w:val="BodyText"/>
        <w:spacing w:line="480" w:lineRule="auto"/>
        <w:rPr>
          <w:b/>
          <w:bCs/>
          <w:sz w:val="28"/>
        </w:rPr>
      </w:pPr>
      <w:r>
        <w:rPr>
          <w:b/>
          <w:bCs/>
          <w:sz w:val="28"/>
        </w:rPr>
        <w:t>Type Your Title Here Using Title Case</w:t>
      </w:r>
      <w:r w:rsidR="00E67ADA">
        <w:rPr>
          <w:b/>
          <w:bCs/>
          <w:sz w:val="28"/>
        </w:rPr>
        <w:t>; 70 Characters Maximum; Spell Out Any Acronyms or Abbreviations</w:t>
      </w:r>
    </w:p>
    <w:p w14:paraId="59354183" w14:textId="77777777" w:rsidR="008C1B38" w:rsidRDefault="00DC694A" w:rsidP="00522156">
      <w:pPr>
        <w:pStyle w:val="BodyText"/>
        <w:spacing w:line="480" w:lineRule="auto"/>
      </w:pPr>
      <w:r>
        <w:t xml:space="preserve">by </w:t>
      </w:r>
      <w:r w:rsidR="008C1B38">
        <w:t xml:space="preserve">John Smith </w:t>
      </w:r>
      <w:r w:rsidR="00FC47F2">
        <w:t xml:space="preserve">and </w:t>
      </w:r>
      <w:r w:rsidR="008C1B38">
        <w:t>David Lee</w:t>
      </w:r>
      <w:r w:rsidR="00946D7E">
        <w:t xml:space="preserve"> </w:t>
      </w:r>
    </w:p>
    <w:p w14:paraId="6F98965D" w14:textId="74F818EE" w:rsidR="008C1B38" w:rsidRPr="00BA775E" w:rsidRDefault="003D2DC1" w:rsidP="00BA775E">
      <w:pPr>
        <w:pStyle w:val="BodyText"/>
        <w:spacing w:line="480" w:lineRule="auto"/>
        <w:rPr>
          <w:u w:val="single"/>
        </w:rPr>
      </w:pPr>
      <w:r w:rsidRPr="00DD349C">
        <w:rPr>
          <w:color w:val="4472C4" w:themeColor="accent1"/>
          <w:u w:val="single"/>
        </w:rPr>
        <w:t>(please ensure names match exactly how they are written in the Author Bios</w:t>
      </w:r>
      <w:r w:rsidR="0049037C">
        <w:rPr>
          <w:color w:val="4472C4" w:themeColor="accent1"/>
          <w:u w:val="single"/>
        </w:rPr>
        <w:t>. First name, middle initial [if any], last name [given name first, followed by family name or surname]</w:t>
      </w:r>
      <w:r w:rsidRPr="00DD349C">
        <w:rPr>
          <w:color w:val="4472C4" w:themeColor="accent1"/>
          <w:u w:val="single"/>
        </w:rPr>
        <w:t>)</w:t>
      </w:r>
    </w:p>
    <w:p w14:paraId="16ED89A0" w14:textId="5CC7E006" w:rsidR="008C1B38" w:rsidRDefault="00B13825">
      <w:pPr>
        <w:pStyle w:val="Heading1"/>
        <w:spacing w:line="480" w:lineRule="auto"/>
        <w:jc w:val="left"/>
      </w:pPr>
      <w:r>
        <w:rPr>
          <w:rFonts w:hint="eastAsia"/>
        </w:rPr>
        <w:t>B</w:t>
      </w:r>
      <w:r>
        <w:t xml:space="preserve">iography: </w:t>
      </w:r>
      <w:r w:rsidRPr="00DD349C">
        <w:rPr>
          <w:b w:val="0"/>
          <w:bCs w:val="0"/>
          <w:color w:val="4472C4" w:themeColor="accent1"/>
          <w:u w:val="single"/>
        </w:rPr>
        <w:t>(75 Words Maximum for each author</w:t>
      </w:r>
      <w:r w:rsidR="005F3CC9">
        <w:rPr>
          <w:b w:val="0"/>
          <w:bCs w:val="0"/>
          <w:color w:val="4472C4" w:themeColor="accent1"/>
          <w:u w:val="single"/>
        </w:rPr>
        <w:t xml:space="preserve">. </w:t>
      </w:r>
      <w:r w:rsidR="001D41C5">
        <w:rPr>
          <w:b w:val="0"/>
          <w:bCs w:val="0"/>
          <w:color w:val="4472C4" w:themeColor="accent1"/>
          <w:u w:val="single"/>
        </w:rPr>
        <w:t>Please include author’s name, current job title</w:t>
      </w:r>
      <w:r w:rsidR="005F3CC9">
        <w:rPr>
          <w:b w:val="0"/>
          <w:bCs w:val="0"/>
          <w:color w:val="4472C4" w:themeColor="accent1"/>
          <w:u w:val="single"/>
        </w:rPr>
        <w:t>,</w:t>
      </w:r>
      <w:r w:rsidR="001D41C5">
        <w:rPr>
          <w:b w:val="0"/>
          <w:bCs w:val="0"/>
          <w:color w:val="4472C4" w:themeColor="accent1"/>
          <w:u w:val="single"/>
        </w:rPr>
        <w:t xml:space="preserve"> and place of employment</w:t>
      </w:r>
      <w:r w:rsidR="005F3CC9">
        <w:rPr>
          <w:b w:val="0"/>
          <w:bCs w:val="0"/>
          <w:color w:val="4472C4" w:themeColor="accent1"/>
          <w:u w:val="single"/>
        </w:rPr>
        <w:t xml:space="preserve"> [including location</w:t>
      </w:r>
      <w:r w:rsidR="003A7574">
        <w:rPr>
          <w:b w:val="0"/>
          <w:bCs w:val="0"/>
          <w:color w:val="4472C4" w:themeColor="accent1"/>
          <w:u w:val="single"/>
        </w:rPr>
        <w:t>, if possible]. Also include education [degrees received and schools attended, including location], ACI affiliations only [committee membership and/or awards received], and research interests</w:t>
      </w:r>
      <w:r w:rsidR="00E8408C">
        <w:rPr>
          <w:b w:val="0"/>
          <w:bCs w:val="0"/>
          <w:color w:val="4472C4" w:themeColor="accent1"/>
          <w:u w:val="single"/>
        </w:rPr>
        <w:t>.</w:t>
      </w:r>
      <w:r w:rsidRPr="00DD349C">
        <w:rPr>
          <w:b w:val="0"/>
          <w:bCs w:val="0"/>
          <w:color w:val="4472C4" w:themeColor="accent1"/>
          <w:u w:val="single"/>
        </w:rPr>
        <w:t>)</w:t>
      </w:r>
      <w:r w:rsidRPr="00DD349C">
        <w:rPr>
          <w:color w:val="4472C4" w:themeColor="accent1"/>
        </w:rPr>
        <w:t xml:space="preserve"> </w:t>
      </w:r>
    </w:p>
    <w:p w14:paraId="04CFA183" w14:textId="6DCC7BBA" w:rsidR="00E8408C" w:rsidRPr="00AF3CF8" w:rsidRDefault="00E8408C" w:rsidP="00A46DEF">
      <w:pPr>
        <w:pStyle w:val="Heading1"/>
        <w:tabs>
          <w:tab w:val="left" w:pos="8820"/>
        </w:tabs>
        <w:spacing w:line="480" w:lineRule="auto"/>
        <w:jc w:val="left"/>
        <w:rPr>
          <w:b w:val="0"/>
          <w:bCs w:val="0"/>
          <w:u w:val="single"/>
        </w:rPr>
      </w:pPr>
      <w:r w:rsidRPr="00AF3CF8">
        <w:rPr>
          <w:color w:val="4472C4" w:themeColor="accent1"/>
          <w:u w:val="single"/>
        </w:rPr>
        <w:t>Example</w:t>
      </w:r>
      <w:r w:rsidR="004D7E70">
        <w:rPr>
          <w:color w:val="4472C4" w:themeColor="accent1"/>
          <w:u w:val="single"/>
        </w:rPr>
        <w:t>s</w:t>
      </w:r>
      <w:r w:rsidRPr="00AF3CF8">
        <w:rPr>
          <w:color w:val="4472C4" w:themeColor="accent1"/>
          <w:u w:val="single"/>
        </w:rPr>
        <w:t>:</w:t>
      </w:r>
    </w:p>
    <w:p w14:paraId="00CB154E" w14:textId="2CF9C38C" w:rsidR="00B13825" w:rsidRDefault="00B13825">
      <w:pPr>
        <w:pStyle w:val="Heading1"/>
        <w:spacing w:line="480" w:lineRule="auto"/>
        <w:jc w:val="left"/>
        <w:rPr>
          <w:b w:val="0"/>
          <w:bCs w:val="0"/>
        </w:rPr>
      </w:pPr>
      <w:r>
        <w:rPr>
          <w:b w:val="0"/>
          <w:bCs w:val="0"/>
        </w:rPr>
        <w:t xml:space="preserve">ACI member </w:t>
      </w:r>
      <w:r>
        <w:t>John Smith</w:t>
      </w:r>
      <w:r>
        <w:rPr>
          <w:b w:val="0"/>
          <w:bCs w:val="0"/>
        </w:rPr>
        <w:t xml:space="preserve"> is a </w:t>
      </w:r>
      <w:r w:rsidR="00D3232D">
        <w:rPr>
          <w:b w:val="0"/>
          <w:bCs w:val="0"/>
        </w:rPr>
        <w:t>Professor in the Department of Civil and Environmental Engineering at the University of Michigan, Ann Arbor, MI</w:t>
      </w:r>
      <w:r>
        <w:rPr>
          <w:b w:val="0"/>
          <w:bCs w:val="0"/>
          <w:i/>
          <w:iCs/>
        </w:rPr>
        <w:t>.</w:t>
      </w:r>
      <w:r>
        <w:rPr>
          <w:b w:val="0"/>
          <w:bCs w:val="0"/>
        </w:rPr>
        <w:t xml:space="preserve"> He received his BS</w:t>
      </w:r>
      <w:r>
        <w:rPr>
          <w:rFonts w:hint="eastAsia"/>
          <w:b w:val="0"/>
          <w:bCs w:val="0"/>
        </w:rPr>
        <w:t xml:space="preserve"> from </w:t>
      </w:r>
      <w:r w:rsidR="00707BEA">
        <w:rPr>
          <w:b w:val="0"/>
          <w:bCs w:val="0"/>
        </w:rPr>
        <w:t>Michigan State University, East Lansing, MI</w:t>
      </w:r>
      <w:r>
        <w:rPr>
          <w:rFonts w:hint="eastAsia"/>
          <w:b w:val="0"/>
          <w:bCs w:val="0"/>
        </w:rPr>
        <w:t xml:space="preserve">; </w:t>
      </w:r>
      <w:r w:rsidR="00330CE9">
        <w:rPr>
          <w:b w:val="0"/>
          <w:bCs w:val="0"/>
        </w:rPr>
        <w:t xml:space="preserve">his </w:t>
      </w:r>
      <w:r>
        <w:rPr>
          <w:b w:val="0"/>
          <w:bCs w:val="0"/>
        </w:rPr>
        <w:t xml:space="preserve">MS </w:t>
      </w:r>
      <w:r>
        <w:rPr>
          <w:rFonts w:hint="eastAsia"/>
          <w:b w:val="0"/>
          <w:bCs w:val="0"/>
        </w:rPr>
        <w:t>from</w:t>
      </w:r>
      <w:r w:rsidR="005A62A2">
        <w:rPr>
          <w:b w:val="0"/>
          <w:bCs w:val="0"/>
        </w:rPr>
        <w:t xml:space="preserve"> The University of British Columbia, </w:t>
      </w:r>
      <w:r w:rsidR="00B00B11">
        <w:rPr>
          <w:b w:val="0"/>
          <w:bCs w:val="0"/>
        </w:rPr>
        <w:t>Vancouver, BC, Canada</w:t>
      </w:r>
      <w:r>
        <w:rPr>
          <w:rFonts w:hint="eastAsia"/>
          <w:b w:val="0"/>
          <w:bCs w:val="0"/>
        </w:rPr>
        <w:t xml:space="preserve">; </w:t>
      </w:r>
      <w:r>
        <w:rPr>
          <w:b w:val="0"/>
          <w:bCs w:val="0"/>
        </w:rPr>
        <w:t xml:space="preserve">and </w:t>
      </w:r>
      <w:r w:rsidR="00330CE9">
        <w:rPr>
          <w:b w:val="0"/>
          <w:bCs w:val="0"/>
        </w:rPr>
        <w:t xml:space="preserve">his </w:t>
      </w:r>
      <w:r>
        <w:rPr>
          <w:b w:val="0"/>
          <w:bCs w:val="0"/>
        </w:rPr>
        <w:t>PhD from</w:t>
      </w:r>
      <w:r w:rsidR="00BC5EBB">
        <w:rPr>
          <w:b w:val="0"/>
          <w:bCs w:val="0"/>
        </w:rPr>
        <w:t xml:space="preserve"> Harvard University, Cambridge, MA</w:t>
      </w:r>
      <w:r>
        <w:rPr>
          <w:b w:val="0"/>
          <w:bCs w:val="0"/>
        </w:rPr>
        <w:t xml:space="preserve">. </w:t>
      </w:r>
      <w:r>
        <w:rPr>
          <w:rFonts w:hint="eastAsia"/>
          <w:b w:val="0"/>
          <w:bCs w:val="0"/>
        </w:rPr>
        <w:t>He is a member of ACI Committee</w:t>
      </w:r>
      <w:r>
        <w:rPr>
          <w:b w:val="0"/>
          <w:bCs w:val="0"/>
        </w:rPr>
        <w:t>s</w:t>
      </w:r>
      <w:r>
        <w:rPr>
          <w:rFonts w:hint="eastAsia"/>
          <w:b w:val="0"/>
          <w:bCs w:val="0"/>
        </w:rPr>
        <w:t xml:space="preserve"> </w:t>
      </w:r>
      <w:r>
        <w:rPr>
          <w:b w:val="0"/>
          <w:bCs w:val="0"/>
        </w:rPr>
        <w:t>221</w:t>
      </w:r>
      <w:r w:rsidR="004E7E9B">
        <w:rPr>
          <w:b w:val="0"/>
          <w:bCs w:val="0"/>
        </w:rPr>
        <w:t>,</w:t>
      </w:r>
      <w:r>
        <w:rPr>
          <w:b w:val="0"/>
          <w:bCs w:val="0"/>
        </w:rPr>
        <w:t xml:space="preserve"> Aggregates</w:t>
      </w:r>
      <w:r w:rsidR="004E7E9B">
        <w:rPr>
          <w:b w:val="0"/>
          <w:bCs w:val="0"/>
        </w:rPr>
        <w:t>;</w:t>
      </w:r>
      <w:r>
        <w:rPr>
          <w:rFonts w:hint="eastAsia"/>
          <w:b w:val="0"/>
          <w:bCs w:val="0"/>
        </w:rPr>
        <w:t xml:space="preserve"> </w:t>
      </w:r>
      <w:r>
        <w:rPr>
          <w:b w:val="0"/>
          <w:bCs w:val="0"/>
        </w:rPr>
        <w:t>302</w:t>
      </w:r>
      <w:r w:rsidR="00F817E5">
        <w:rPr>
          <w:b w:val="0"/>
          <w:bCs w:val="0"/>
        </w:rPr>
        <w:t>,</w:t>
      </w:r>
      <w:r>
        <w:rPr>
          <w:b w:val="0"/>
          <w:bCs w:val="0"/>
        </w:rPr>
        <w:t xml:space="preserve"> Construction of </w:t>
      </w:r>
      <w:r w:rsidR="00F817E5">
        <w:rPr>
          <w:b w:val="0"/>
          <w:bCs w:val="0"/>
        </w:rPr>
        <w:t>C</w:t>
      </w:r>
      <w:r>
        <w:rPr>
          <w:b w:val="0"/>
          <w:bCs w:val="0"/>
        </w:rPr>
        <w:t xml:space="preserve">oncrete </w:t>
      </w:r>
      <w:r w:rsidR="00F817E5">
        <w:rPr>
          <w:b w:val="0"/>
          <w:bCs w:val="0"/>
        </w:rPr>
        <w:t>F</w:t>
      </w:r>
      <w:r>
        <w:rPr>
          <w:b w:val="0"/>
          <w:bCs w:val="0"/>
        </w:rPr>
        <w:t>loors</w:t>
      </w:r>
      <w:r w:rsidR="00F817E5">
        <w:rPr>
          <w:b w:val="0"/>
          <w:bCs w:val="0"/>
        </w:rPr>
        <w:t>;</w:t>
      </w:r>
      <w:r>
        <w:rPr>
          <w:rFonts w:hint="eastAsia"/>
          <w:b w:val="0"/>
          <w:bCs w:val="0"/>
        </w:rPr>
        <w:t xml:space="preserve"> and </w:t>
      </w:r>
      <w:r>
        <w:rPr>
          <w:b w:val="0"/>
          <w:bCs w:val="0"/>
        </w:rPr>
        <w:t>325</w:t>
      </w:r>
      <w:r w:rsidR="00D003A5">
        <w:rPr>
          <w:b w:val="0"/>
          <w:bCs w:val="0"/>
        </w:rPr>
        <w:t>,</w:t>
      </w:r>
      <w:r>
        <w:rPr>
          <w:b w:val="0"/>
          <w:bCs w:val="0"/>
        </w:rPr>
        <w:t xml:space="preserve"> Concrete </w:t>
      </w:r>
      <w:r w:rsidR="00D003A5">
        <w:rPr>
          <w:b w:val="0"/>
          <w:bCs w:val="0"/>
        </w:rPr>
        <w:t>P</w:t>
      </w:r>
      <w:r>
        <w:rPr>
          <w:b w:val="0"/>
          <w:bCs w:val="0"/>
        </w:rPr>
        <w:t>avements</w:t>
      </w:r>
      <w:r>
        <w:rPr>
          <w:rFonts w:hint="eastAsia"/>
          <w:b w:val="0"/>
          <w:bCs w:val="0"/>
        </w:rPr>
        <w:t xml:space="preserve">. </w:t>
      </w:r>
      <w:r>
        <w:rPr>
          <w:b w:val="0"/>
          <w:bCs w:val="0"/>
        </w:rPr>
        <w:t xml:space="preserve">His research interests include </w:t>
      </w:r>
      <w:r w:rsidR="005139D2">
        <w:rPr>
          <w:b w:val="0"/>
          <w:bCs w:val="0"/>
        </w:rPr>
        <w:t xml:space="preserve">the </w:t>
      </w:r>
      <w:r>
        <w:rPr>
          <w:b w:val="0"/>
          <w:bCs w:val="0"/>
        </w:rPr>
        <w:t xml:space="preserve">durability of reinforced concrete structures in </w:t>
      </w:r>
      <w:r>
        <w:rPr>
          <w:rFonts w:hint="eastAsia"/>
          <w:b w:val="0"/>
          <w:bCs w:val="0"/>
        </w:rPr>
        <w:t xml:space="preserve">the </w:t>
      </w:r>
      <w:r>
        <w:rPr>
          <w:b w:val="0"/>
          <w:bCs w:val="0"/>
        </w:rPr>
        <w:t>marine environment.</w:t>
      </w:r>
    </w:p>
    <w:p w14:paraId="09FD0CFC" w14:textId="1EC5B6C1" w:rsidR="00B13825" w:rsidRDefault="00B13825">
      <w:pPr>
        <w:spacing w:line="480" w:lineRule="auto"/>
        <w:jc w:val="both"/>
      </w:pPr>
      <w:r>
        <w:rPr>
          <w:b/>
          <w:bCs/>
        </w:rPr>
        <w:t>David Lee</w:t>
      </w:r>
      <w:r>
        <w:t xml:space="preserve"> is a </w:t>
      </w:r>
      <w:r w:rsidR="00762E62">
        <w:t>R</w:t>
      </w:r>
      <w:r>
        <w:t>esearcher at</w:t>
      </w:r>
      <w:r w:rsidR="00B31EDE">
        <w:t xml:space="preserve"> the U.S. Army Corps of Engineers</w:t>
      </w:r>
      <w:r>
        <w:t>.</w:t>
      </w:r>
      <w:r w:rsidR="00B31EDE">
        <w:t xml:space="preserve"> He received his</w:t>
      </w:r>
      <w:r w:rsidR="0009208A">
        <w:t xml:space="preserve"> BS from the University of Michigan</w:t>
      </w:r>
      <w:r w:rsidR="00FB11FB">
        <w:t xml:space="preserve">, and his MS from </w:t>
      </w:r>
      <w:r w:rsidR="00AF0EEF">
        <w:t>the University of London, London, UK.</w:t>
      </w:r>
      <w:r w:rsidR="000A6B93">
        <w:t xml:space="preserve"> He is Chair of ACI Committee 318, Structural Concrete Building Code, and a member of ACI Committees </w:t>
      </w:r>
      <w:r w:rsidR="009F1F77">
        <w:t xml:space="preserve">308, Curing Concrete, and </w:t>
      </w:r>
      <w:r w:rsidR="00574F66">
        <w:t>565</w:t>
      </w:r>
      <w:r w:rsidR="008953B2">
        <w:t xml:space="preserve">, Lunar Concrete, and ACI Subcommittee </w:t>
      </w:r>
      <w:r w:rsidR="000249B8">
        <w:t>336-A, Mats Supported on Deep Foundations.</w:t>
      </w:r>
      <w:r w:rsidR="005A5845">
        <w:t xml:space="preserve"> His research interests include reinforced concrete</w:t>
      </w:r>
      <w:r w:rsidR="00FB480E">
        <w:t xml:space="preserve"> and marine structures.</w:t>
      </w:r>
    </w:p>
    <w:p w14:paraId="69419832" w14:textId="77777777" w:rsidR="008C1B38" w:rsidRDefault="00B13825">
      <w:pPr>
        <w:pStyle w:val="Heading1"/>
        <w:spacing w:line="480" w:lineRule="auto"/>
        <w:rPr>
          <w:b w:val="0"/>
          <w:bCs w:val="0"/>
        </w:rPr>
      </w:pPr>
      <w:r>
        <w:rPr>
          <w:rFonts w:hint="eastAsia"/>
        </w:rPr>
        <w:lastRenderedPageBreak/>
        <w:t>ABSTRACT</w:t>
      </w:r>
      <w:r w:rsidR="00946D7E">
        <w:t>/SYNOPSIS</w:t>
      </w:r>
      <w:r>
        <w:rPr>
          <w:b w:val="0"/>
          <w:bCs w:val="0"/>
        </w:rPr>
        <w:t xml:space="preserve"> </w:t>
      </w:r>
    </w:p>
    <w:p w14:paraId="153605C6" w14:textId="24A69C45" w:rsidR="00B13825" w:rsidRPr="00636510" w:rsidRDefault="00B13825">
      <w:pPr>
        <w:pStyle w:val="Heading1"/>
        <w:spacing w:line="480" w:lineRule="auto"/>
      </w:pPr>
      <w:r w:rsidRPr="00636510">
        <w:rPr>
          <w:b w:val="0"/>
          <w:bCs w:val="0"/>
          <w:color w:val="4472C4" w:themeColor="accent1"/>
          <w:u w:val="single"/>
        </w:rPr>
        <w:t>(150 Words Maximum</w:t>
      </w:r>
      <w:r w:rsidR="00442599" w:rsidRPr="00636510">
        <w:rPr>
          <w:b w:val="0"/>
          <w:bCs w:val="0"/>
          <w:color w:val="4472C4" w:themeColor="accent1"/>
          <w:u w:val="single"/>
        </w:rPr>
        <w:t xml:space="preserve">. </w:t>
      </w:r>
      <w:r w:rsidR="00815F80">
        <w:rPr>
          <w:b w:val="0"/>
          <w:bCs w:val="0"/>
          <w:color w:val="4472C4" w:themeColor="accent1"/>
          <w:u w:val="single"/>
        </w:rPr>
        <w:t xml:space="preserve">Should be a concise statement of the principal findings and conclusions. Do not cite references, figures, or tables </w:t>
      </w:r>
      <w:r w:rsidR="00036E0B">
        <w:rPr>
          <w:b w:val="0"/>
          <w:bCs w:val="0"/>
          <w:color w:val="4472C4" w:themeColor="accent1"/>
          <w:u w:val="single"/>
        </w:rPr>
        <w:t>in this section.</w:t>
      </w:r>
      <w:r w:rsidR="004C0012" w:rsidRPr="00636510">
        <w:rPr>
          <w:b w:val="0"/>
          <w:bCs w:val="0"/>
          <w:color w:val="4472C4" w:themeColor="accent1"/>
          <w:u w:val="single"/>
        </w:rPr>
        <w:t>)</w:t>
      </w:r>
    </w:p>
    <w:p w14:paraId="0887AE04" w14:textId="5762A0AA" w:rsidR="00B13825" w:rsidRPr="00946D7E" w:rsidRDefault="00B13825" w:rsidP="00E74F07">
      <w:pPr>
        <w:pStyle w:val="Heading1"/>
        <w:spacing w:line="480" w:lineRule="auto"/>
        <w:jc w:val="both"/>
        <w:rPr>
          <w:i/>
          <w:iCs/>
        </w:rPr>
      </w:pPr>
      <w:r w:rsidRPr="00946D7E">
        <w:rPr>
          <w:rFonts w:hint="eastAsia"/>
          <w:b w:val="0"/>
          <w:bCs w:val="0"/>
          <w:i/>
          <w:iCs/>
        </w:rPr>
        <w:t xml:space="preserve">A detailed investigation </w:t>
      </w:r>
      <w:r w:rsidR="00710383" w:rsidRPr="00946D7E">
        <w:rPr>
          <w:b w:val="0"/>
          <w:bCs w:val="0"/>
          <w:i/>
          <w:iCs/>
        </w:rPr>
        <w:t>of</w:t>
      </w:r>
      <w:r w:rsidR="00710383" w:rsidRPr="00946D7E">
        <w:rPr>
          <w:rFonts w:hint="eastAsia"/>
          <w:b w:val="0"/>
          <w:bCs w:val="0"/>
          <w:i/>
          <w:iCs/>
        </w:rPr>
        <w:t xml:space="preserve"> </w:t>
      </w:r>
      <w:r w:rsidRPr="00946D7E">
        <w:rPr>
          <w:rFonts w:hint="eastAsia"/>
          <w:b w:val="0"/>
          <w:bCs w:val="0"/>
          <w:i/>
          <w:iCs/>
        </w:rPr>
        <w:t>concrete specimens (</w:t>
      </w:r>
      <w:r w:rsidR="004B12FE" w:rsidRPr="00946D7E">
        <w:rPr>
          <w:b w:val="0"/>
          <w:bCs w:val="0"/>
          <w:i/>
          <w:iCs/>
        </w:rPr>
        <w:t>3.9</w:t>
      </w:r>
      <w:r w:rsidR="00364DE5" w:rsidRPr="00946D7E">
        <w:rPr>
          <w:b w:val="0"/>
          <w:bCs w:val="0"/>
          <w:i/>
          <w:iCs/>
        </w:rPr>
        <w:t>4 in. [</w:t>
      </w:r>
      <w:r w:rsidRPr="00946D7E">
        <w:rPr>
          <w:rFonts w:hint="eastAsia"/>
          <w:b w:val="0"/>
          <w:bCs w:val="0"/>
          <w:i/>
          <w:iCs/>
        </w:rPr>
        <w:t>100 mm</w:t>
      </w:r>
      <w:r w:rsidR="00364DE5" w:rsidRPr="00946D7E">
        <w:rPr>
          <w:b w:val="0"/>
          <w:bCs w:val="0"/>
          <w:i/>
          <w:iCs/>
        </w:rPr>
        <w:t xml:space="preserve">] </w:t>
      </w:r>
      <w:r w:rsidRPr="00946D7E">
        <w:rPr>
          <w:rFonts w:hint="eastAsia"/>
          <w:b w:val="0"/>
          <w:bCs w:val="0"/>
          <w:i/>
          <w:iCs/>
        </w:rPr>
        <w:t xml:space="preserve">diameter </w:t>
      </w:r>
      <w:r w:rsidRPr="00946D7E">
        <w:rPr>
          <w:b w:val="0"/>
          <w:bCs w:val="0"/>
          <w:i/>
          <w:iCs/>
        </w:rPr>
        <w:t>and</w:t>
      </w:r>
      <w:r w:rsidRPr="00946D7E">
        <w:rPr>
          <w:rFonts w:hint="eastAsia"/>
          <w:b w:val="0"/>
          <w:bCs w:val="0"/>
          <w:i/>
          <w:iCs/>
        </w:rPr>
        <w:t xml:space="preserve"> </w:t>
      </w:r>
      <w:r w:rsidR="004B12FE" w:rsidRPr="00946D7E">
        <w:rPr>
          <w:b w:val="0"/>
          <w:bCs w:val="0"/>
          <w:i/>
          <w:iCs/>
        </w:rPr>
        <w:t>7.</w:t>
      </w:r>
      <w:r w:rsidR="00364DE5" w:rsidRPr="00946D7E">
        <w:rPr>
          <w:b w:val="0"/>
          <w:bCs w:val="0"/>
          <w:i/>
          <w:iCs/>
        </w:rPr>
        <w:t>8</w:t>
      </w:r>
      <w:r w:rsidR="004B12FE" w:rsidRPr="00946D7E">
        <w:rPr>
          <w:b w:val="0"/>
          <w:bCs w:val="0"/>
          <w:i/>
          <w:iCs/>
        </w:rPr>
        <w:t>7</w:t>
      </w:r>
      <w:r w:rsidR="00364DE5" w:rsidRPr="00946D7E">
        <w:rPr>
          <w:b w:val="0"/>
          <w:bCs w:val="0"/>
          <w:i/>
          <w:iCs/>
        </w:rPr>
        <w:t xml:space="preserve"> in. [</w:t>
      </w:r>
      <w:r w:rsidRPr="00946D7E">
        <w:rPr>
          <w:rFonts w:hint="eastAsia"/>
          <w:b w:val="0"/>
          <w:bCs w:val="0"/>
          <w:i/>
          <w:iCs/>
        </w:rPr>
        <w:t>200 mm</w:t>
      </w:r>
      <w:r w:rsidR="00364DE5" w:rsidRPr="00946D7E">
        <w:rPr>
          <w:b w:val="0"/>
          <w:bCs w:val="0"/>
          <w:i/>
          <w:iCs/>
        </w:rPr>
        <w:t xml:space="preserve">] </w:t>
      </w:r>
      <w:r w:rsidRPr="00946D7E">
        <w:rPr>
          <w:b w:val="0"/>
          <w:bCs w:val="0"/>
          <w:i/>
          <w:iCs/>
        </w:rPr>
        <w:t>height</w:t>
      </w:r>
      <w:r w:rsidRPr="00946D7E">
        <w:rPr>
          <w:rFonts w:hint="eastAsia"/>
          <w:b w:val="0"/>
          <w:bCs w:val="0"/>
          <w:i/>
          <w:iCs/>
        </w:rPr>
        <w:t>)</w:t>
      </w:r>
      <w:r w:rsidRPr="00946D7E">
        <w:rPr>
          <w:b w:val="0"/>
          <w:bCs w:val="0"/>
          <w:i/>
          <w:iCs/>
        </w:rPr>
        <w:t xml:space="preserve"> </w:t>
      </w:r>
      <w:r w:rsidRPr="00946D7E">
        <w:rPr>
          <w:rFonts w:hint="eastAsia"/>
          <w:b w:val="0"/>
          <w:bCs w:val="0"/>
          <w:i/>
          <w:iCs/>
        </w:rPr>
        <w:t>made with different chemical admixtures was carried out after 10 years of tidal exposure. Chemical admixtures include</w:t>
      </w:r>
      <w:r w:rsidR="004C4672" w:rsidRPr="00946D7E">
        <w:rPr>
          <w:b w:val="0"/>
          <w:bCs w:val="0"/>
          <w:i/>
          <w:iCs/>
        </w:rPr>
        <w:t>d</w:t>
      </w:r>
      <w:r w:rsidRPr="00946D7E">
        <w:rPr>
          <w:rFonts w:hint="eastAsia"/>
          <w:b w:val="0"/>
          <w:bCs w:val="0"/>
          <w:i/>
          <w:iCs/>
        </w:rPr>
        <w:t xml:space="preserve"> air-entraining admixture (</w:t>
      </w:r>
      <w:proofErr w:type="spellStart"/>
      <w:r w:rsidRPr="00946D7E">
        <w:rPr>
          <w:rFonts w:hint="eastAsia"/>
          <w:b w:val="0"/>
          <w:bCs w:val="0"/>
          <w:i/>
          <w:iCs/>
        </w:rPr>
        <w:t>vinsol</w:t>
      </w:r>
      <w:proofErr w:type="spellEnd"/>
      <w:r w:rsidRPr="00946D7E">
        <w:rPr>
          <w:rFonts w:hint="eastAsia"/>
          <w:b w:val="0"/>
          <w:bCs w:val="0"/>
          <w:i/>
          <w:iCs/>
        </w:rPr>
        <w:t>), water-reducing admixture (</w:t>
      </w:r>
      <w:r w:rsidR="00DD4560" w:rsidRPr="00946D7E">
        <w:rPr>
          <w:b w:val="0"/>
          <w:bCs w:val="0"/>
          <w:i/>
          <w:iCs/>
        </w:rPr>
        <w:t>lignosulfonate</w:t>
      </w:r>
      <w:r w:rsidRPr="00946D7E">
        <w:rPr>
          <w:rFonts w:hint="eastAsia"/>
          <w:b w:val="0"/>
          <w:bCs w:val="0"/>
          <w:i/>
          <w:iCs/>
        </w:rPr>
        <w:t xml:space="preserve"> group), various high-range water-reducing and air-entraining admixture</w:t>
      </w:r>
      <w:r w:rsidRPr="00946D7E">
        <w:rPr>
          <w:b w:val="0"/>
          <w:bCs w:val="0"/>
          <w:i/>
          <w:iCs/>
        </w:rPr>
        <w:t>s</w:t>
      </w:r>
      <w:r w:rsidRPr="00946D7E">
        <w:rPr>
          <w:rFonts w:hint="eastAsia"/>
          <w:b w:val="0"/>
          <w:bCs w:val="0"/>
          <w:i/>
          <w:iCs/>
        </w:rPr>
        <w:t xml:space="preserve"> (naphthalene, melamine, </w:t>
      </w:r>
      <w:proofErr w:type="spellStart"/>
      <w:r w:rsidRPr="00946D7E">
        <w:rPr>
          <w:rFonts w:hint="eastAsia"/>
          <w:b w:val="0"/>
          <w:bCs w:val="0"/>
          <w:i/>
          <w:iCs/>
        </w:rPr>
        <w:t>polycarboxyl</w:t>
      </w:r>
      <w:proofErr w:type="spellEnd"/>
      <w:r w:rsidR="00191909" w:rsidRPr="00946D7E">
        <w:rPr>
          <w:b w:val="0"/>
          <w:bCs w:val="0"/>
          <w:i/>
          <w:iCs/>
        </w:rPr>
        <w:t>,</w:t>
      </w:r>
      <w:r w:rsidRPr="00946D7E">
        <w:rPr>
          <w:rFonts w:hint="eastAsia"/>
          <w:b w:val="0"/>
          <w:bCs w:val="0"/>
          <w:i/>
          <w:iCs/>
        </w:rPr>
        <w:t xml:space="preserve"> and amino</w:t>
      </w:r>
      <w:r w:rsidR="00576510">
        <w:rPr>
          <w:b w:val="0"/>
          <w:bCs w:val="0"/>
          <w:i/>
          <w:iCs/>
        </w:rPr>
        <w:t>-</w:t>
      </w:r>
      <w:r w:rsidRPr="00946D7E">
        <w:rPr>
          <w:rFonts w:hint="eastAsia"/>
          <w:b w:val="0"/>
          <w:bCs w:val="0"/>
          <w:i/>
          <w:iCs/>
        </w:rPr>
        <w:t>sulfonate group</w:t>
      </w:r>
      <w:r w:rsidR="004E38D0" w:rsidRPr="00946D7E">
        <w:rPr>
          <w:b w:val="0"/>
          <w:bCs w:val="0"/>
          <w:i/>
          <w:iCs/>
        </w:rPr>
        <w:t>s</w:t>
      </w:r>
      <w:r w:rsidRPr="00946D7E">
        <w:rPr>
          <w:rFonts w:hint="eastAsia"/>
          <w:b w:val="0"/>
          <w:bCs w:val="0"/>
          <w:i/>
          <w:iCs/>
        </w:rPr>
        <w:t>)</w:t>
      </w:r>
      <w:r w:rsidR="00EF021A" w:rsidRPr="00946D7E">
        <w:rPr>
          <w:b w:val="0"/>
          <w:bCs w:val="0"/>
          <w:i/>
          <w:iCs/>
        </w:rPr>
        <w:t>,</w:t>
      </w:r>
      <w:r w:rsidRPr="00946D7E">
        <w:rPr>
          <w:rFonts w:hint="eastAsia"/>
          <w:b w:val="0"/>
          <w:bCs w:val="0"/>
          <w:i/>
          <w:iCs/>
        </w:rPr>
        <w:t xml:space="preserve"> and drying</w:t>
      </w:r>
      <w:r w:rsidRPr="00946D7E">
        <w:rPr>
          <w:b w:val="0"/>
          <w:bCs w:val="0"/>
          <w:i/>
          <w:iCs/>
        </w:rPr>
        <w:t>-</w:t>
      </w:r>
      <w:r w:rsidRPr="00946D7E">
        <w:rPr>
          <w:rFonts w:hint="eastAsia"/>
          <w:b w:val="0"/>
          <w:bCs w:val="0"/>
          <w:i/>
          <w:iCs/>
        </w:rPr>
        <w:t>shrinkage</w:t>
      </w:r>
      <w:r w:rsidRPr="00946D7E">
        <w:rPr>
          <w:b w:val="0"/>
          <w:bCs w:val="0"/>
          <w:i/>
          <w:iCs/>
        </w:rPr>
        <w:t>-</w:t>
      </w:r>
      <w:r w:rsidRPr="00946D7E">
        <w:rPr>
          <w:rFonts w:hint="eastAsia"/>
          <w:b w:val="0"/>
          <w:bCs w:val="0"/>
          <w:i/>
          <w:iCs/>
        </w:rPr>
        <w:t xml:space="preserve">reducing admixture (glycol ether plus amino alcohol derivatives). The </w:t>
      </w:r>
      <w:r w:rsidRPr="00946D7E">
        <w:rPr>
          <w:b w:val="0"/>
          <w:bCs w:val="0"/>
          <w:i/>
          <w:iCs/>
        </w:rPr>
        <w:t>specimens</w:t>
      </w:r>
      <w:r w:rsidRPr="00946D7E">
        <w:rPr>
          <w:rFonts w:hint="eastAsia"/>
          <w:b w:val="0"/>
          <w:bCs w:val="0"/>
          <w:i/>
          <w:iCs/>
        </w:rPr>
        <w:t xml:space="preserve"> were tested for compressive strength, Young</w:t>
      </w:r>
      <w:r w:rsidRPr="00946D7E">
        <w:rPr>
          <w:b w:val="0"/>
          <w:bCs w:val="0"/>
          <w:i/>
          <w:iCs/>
        </w:rPr>
        <w:t>’</w:t>
      </w:r>
      <w:r w:rsidRPr="00946D7E">
        <w:rPr>
          <w:rFonts w:hint="eastAsia"/>
          <w:b w:val="0"/>
          <w:bCs w:val="0"/>
          <w:i/>
          <w:iCs/>
        </w:rPr>
        <w:t>s modulus of elasticity, carbonation depths, chloride ingress, pore</w:t>
      </w:r>
      <w:r w:rsidR="00337FE9" w:rsidRPr="00946D7E">
        <w:rPr>
          <w:b w:val="0"/>
          <w:bCs w:val="0"/>
          <w:i/>
          <w:iCs/>
        </w:rPr>
        <w:t>-</w:t>
      </w:r>
      <w:r w:rsidRPr="00946D7E">
        <w:rPr>
          <w:rFonts w:hint="eastAsia"/>
          <w:b w:val="0"/>
          <w:bCs w:val="0"/>
          <w:i/>
          <w:iCs/>
        </w:rPr>
        <w:t>size distribution, electrochemical and physical evaluation of steel bar</w:t>
      </w:r>
      <w:r w:rsidRPr="00946D7E">
        <w:rPr>
          <w:b w:val="0"/>
          <w:bCs w:val="0"/>
          <w:i/>
          <w:iCs/>
        </w:rPr>
        <w:t>’</w:t>
      </w:r>
      <w:r w:rsidRPr="00946D7E">
        <w:rPr>
          <w:rFonts w:hint="eastAsia"/>
          <w:b w:val="0"/>
          <w:bCs w:val="0"/>
          <w:i/>
          <w:iCs/>
        </w:rPr>
        <w:t>s corrosion in concrete, examination of steel-concrete interfaces, and mineralogy of the mortar portions of concrete</w:t>
      </w:r>
      <w:r w:rsidRPr="00946D7E">
        <w:rPr>
          <w:b w:val="0"/>
          <w:bCs w:val="0"/>
          <w:i/>
          <w:iCs/>
        </w:rPr>
        <w:t>.</w:t>
      </w:r>
    </w:p>
    <w:p w14:paraId="19224C70" w14:textId="0ABA181E" w:rsidR="00B13825" w:rsidRPr="00E852D8" w:rsidRDefault="00B13825">
      <w:pPr>
        <w:spacing w:line="480" w:lineRule="auto"/>
        <w:jc w:val="both"/>
        <w:rPr>
          <w:color w:val="4472C4" w:themeColor="accent1"/>
        </w:rPr>
      </w:pPr>
      <w:r>
        <w:rPr>
          <w:rFonts w:hint="eastAsia"/>
          <w:b/>
          <w:bCs/>
        </w:rPr>
        <w:t xml:space="preserve">Keywords: </w:t>
      </w:r>
      <w:r w:rsidR="00036E0B" w:rsidRPr="006C4A48">
        <w:t>9 keywords maximum.</w:t>
      </w:r>
      <w:r w:rsidR="00036E0B" w:rsidRPr="00CB2658">
        <w:rPr>
          <w:color w:val="4472C4" w:themeColor="accent1"/>
        </w:rPr>
        <w:t xml:space="preserve"> </w:t>
      </w:r>
      <w:r w:rsidR="00A56862" w:rsidRPr="00CB2658">
        <w:rPr>
          <w:color w:val="4472C4" w:themeColor="accent1"/>
        </w:rPr>
        <w:t xml:space="preserve">Type keywords alphabetically, all lowercase style, </w:t>
      </w:r>
      <w:r w:rsidR="0011510A">
        <w:rPr>
          <w:color w:val="4472C4" w:themeColor="accent1"/>
        </w:rPr>
        <w:t xml:space="preserve">and </w:t>
      </w:r>
      <w:r w:rsidR="00A56862" w:rsidRPr="00CB2658">
        <w:rPr>
          <w:color w:val="4472C4" w:themeColor="accent1"/>
        </w:rPr>
        <w:t>separated by semicolon</w:t>
      </w:r>
      <w:r w:rsidR="007A312F" w:rsidRPr="00CB2658">
        <w:rPr>
          <w:color w:val="4472C4" w:themeColor="accent1"/>
        </w:rPr>
        <w:t>s</w:t>
      </w:r>
      <w:r w:rsidR="0011510A">
        <w:rPr>
          <w:color w:val="4472C4" w:themeColor="accent1"/>
        </w:rPr>
        <w:t>, with a period following the final keyword</w:t>
      </w:r>
      <w:r w:rsidR="007A312F" w:rsidRPr="00CB2658">
        <w:rPr>
          <w:color w:val="4472C4" w:themeColor="accent1"/>
        </w:rPr>
        <w:t>. Any keyword containing an acronym should be spelled out, with the acronym following the keyword in parentheses.</w:t>
      </w:r>
      <w:r w:rsidR="00036E0B" w:rsidRPr="00CB2658">
        <w:rPr>
          <w:color w:val="4472C4" w:themeColor="accent1"/>
        </w:rPr>
        <w:t xml:space="preserve"> </w:t>
      </w:r>
      <w:r w:rsidR="00576510">
        <w:rPr>
          <w:color w:val="4472C4" w:themeColor="accent1"/>
        </w:rPr>
        <w:t xml:space="preserve">“cement” or “concrete” should not be </w:t>
      </w:r>
      <w:r w:rsidR="00AE694B">
        <w:rPr>
          <w:color w:val="4472C4" w:themeColor="accent1"/>
        </w:rPr>
        <w:t xml:space="preserve">included </w:t>
      </w:r>
      <w:r w:rsidR="00576510">
        <w:rPr>
          <w:color w:val="4472C4" w:themeColor="accent1"/>
        </w:rPr>
        <w:t>in this list.</w:t>
      </w:r>
    </w:p>
    <w:p w14:paraId="53DB158A" w14:textId="57EBB0F7" w:rsidR="00B13825" w:rsidRDefault="00B13825">
      <w:pPr>
        <w:pStyle w:val="Heading1"/>
        <w:spacing w:line="480" w:lineRule="auto"/>
      </w:pPr>
      <w:r>
        <w:rPr>
          <w:rFonts w:hint="eastAsia"/>
        </w:rPr>
        <w:t>INTRODUCTION</w:t>
      </w:r>
    </w:p>
    <w:p w14:paraId="483B5473" w14:textId="13A10C7C" w:rsidR="00574DA9" w:rsidRPr="00005906" w:rsidRDefault="00885B20" w:rsidP="00D4417E">
      <w:pPr>
        <w:spacing w:line="480" w:lineRule="auto"/>
        <w:jc w:val="center"/>
        <w:rPr>
          <w:u w:val="single"/>
        </w:rPr>
      </w:pPr>
      <w:r w:rsidRPr="00005906">
        <w:rPr>
          <w:color w:val="4472C4" w:themeColor="accent1"/>
          <w:u w:val="single"/>
        </w:rPr>
        <w:t>(All acronyms are to be spelled out at first mention from this point of the paper onward</w:t>
      </w:r>
      <w:r w:rsidR="00D4417E" w:rsidRPr="00005906">
        <w:rPr>
          <w:color w:val="4472C4" w:themeColor="accent1"/>
          <w:u w:val="single"/>
        </w:rPr>
        <w:t>. Acronym can be used on its own thereafter.</w:t>
      </w:r>
      <w:r w:rsidR="006D370C" w:rsidRPr="006D370C">
        <w:rPr>
          <w:b/>
          <w:bCs/>
          <w:color w:val="4472C4" w:themeColor="accent1"/>
          <w:u w:val="single"/>
        </w:rPr>
        <w:t xml:space="preserve"> </w:t>
      </w:r>
      <w:r w:rsidR="006D370C" w:rsidRPr="002A5E58">
        <w:rPr>
          <w:b/>
          <w:bCs/>
          <w:color w:val="4472C4" w:themeColor="accent1"/>
          <w:u w:val="single"/>
        </w:rPr>
        <w:t>Do not place notations or symbols in text boxes unless they cannot otherwise be typed in plain text.</w:t>
      </w:r>
      <w:r w:rsidR="00D4417E" w:rsidRPr="00005906">
        <w:rPr>
          <w:color w:val="4472C4" w:themeColor="accent1"/>
          <w:u w:val="single"/>
        </w:rPr>
        <w:t>)</w:t>
      </w:r>
    </w:p>
    <w:p w14:paraId="33670DAE" w14:textId="1E88CDAC" w:rsidR="00B13825" w:rsidRDefault="00B13825">
      <w:pPr>
        <w:pStyle w:val="BodyTextIndent2"/>
        <w:spacing w:line="480" w:lineRule="auto"/>
        <w:ind w:firstLine="0"/>
      </w:pPr>
      <w:r>
        <w:rPr>
          <w:rFonts w:hint="eastAsia"/>
        </w:rPr>
        <w:t xml:space="preserve">Water-reducing chemical admixtures are used to produce concrete of higher strength, obtain a specified strength at </w:t>
      </w:r>
      <w:r w:rsidR="00F23FDF">
        <w:t xml:space="preserve">a </w:t>
      </w:r>
      <w:r>
        <w:rPr>
          <w:rFonts w:hint="eastAsia"/>
        </w:rPr>
        <w:t xml:space="preserve">lower </w:t>
      </w:r>
      <w:r>
        <w:t>water-cemen</w:t>
      </w:r>
      <w:r w:rsidR="00F23FDF">
        <w:t>t</w:t>
      </w:r>
      <w:r>
        <w:t xml:space="preserve"> ratio (</w:t>
      </w:r>
      <w:r>
        <w:rPr>
          <w:i/>
          <w:iCs/>
        </w:rPr>
        <w:t>w</w:t>
      </w:r>
      <w:r w:rsidRPr="00E74F07">
        <w:t>/</w:t>
      </w:r>
      <w:r>
        <w:rPr>
          <w:i/>
          <w:iCs/>
        </w:rPr>
        <w:t>c</w:t>
      </w:r>
      <w:r>
        <w:t>)</w:t>
      </w:r>
      <w:r>
        <w:rPr>
          <w:rFonts w:hint="eastAsia"/>
        </w:rPr>
        <w:t>, or increase the slump of a given mix</w:t>
      </w:r>
      <w:r>
        <w:t>ture</w:t>
      </w:r>
      <w:r>
        <w:rPr>
          <w:rFonts w:hint="eastAsia"/>
        </w:rPr>
        <w:t xml:space="preserve"> without an increase in water content. Numerous studies on the properties of fresh concrete mixed with </w:t>
      </w:r>
      <w:r>
        <w:t>different</w:t>
      </w:r>
      <w:r>
        <w:rPr>
          <w:rFonts w:hint="eastAsia"/>
        </w:rPr>
        <w:t xml:space="preserve"> chemical admixtures were carried out to investigate the fresh concrete </w:t>
      </w:r>
      <w:r>
        <w:rPr>
          <w:rFonts w:hint="eastAsia"/>
        </w:rPr>
        <w:lastRenderedPageBreak/>
        <w:t xml:space="preserve">properties or the concrete </w:t>
      </w:r>
      <w:r>
        <w:t>properties</w:t>
      </w:r>
      <w:r>
        <w:rPr>
          <w:rFonts w:hint="eastAsia"/>
        </w:rPr>
        <w:t xml:space="preserve"> at </w:t>
      </w:r>
      <w:r>
        <w:t>an</w:t>
      </w:r>
      <w:r>
        <w:rPr>
          <w:rFonts w:hint="eastAsia"/>
        </w:rPr>
        <w:t xml:space="preserve"> early age of exposure</w:t>
      </w:r>
      <w:r>
        <w:rPr>
          <w:rFonts w:hint="eastAsia"/>
          <w:sz w:val="22"/>
        </w:rPr>
        <w:t xml:space="preserve">. </w:t>
      </w:r>
      <w:r>
        <w:rPr>
          <w:rFonts w:hint="eastAsia"/>
        </w:rPr>
        <w:t xml:space="preserve">There were also several international conferences held focusing on the chemical admixtures in the last couple of decades. </w:t>
      </w:r>
      <w:r>
        <w:t>Detailed</w:t>
      </w:r>
      <w:r>
        <w:rPr>
          <w:rFonts w:hint="eastAsia"/>
        </w:rPr>
        <w:t xml:space="preserve"> studies on the long-term performance of concrete mixed with different chemical admixtures</w:t>
      </w:r>
      <w:r>
        <w:t>, however,</w:t>
      </w:r>
      <w:r>
        <w:rPr>
          <w:rFonts w:hint="eastAsia"/>
        </w:rPr>
        <w:t xml:space="preserve"> are very scarce in </w:t>
      </w:r>
      <w:r>
        <w:t>the</w:t>
      </w:r>
      <w:r>
        <w:rPr>
          <w:rFonts w:hint="eastAsia"/>
        </w:rPr>
        <w:t xml:space="preserve"> technical literature</w:t>
      </w:r>
      <w:r>
        <w:rPr>
          <w:rFonts w:hint="eastAsia"/>
          <w:sz w:val="22"/>
        </w:rPr>
        <w:t>.</w:t>
      </w:r>
      <w:r>
        <w:rPr>
          <w:rFonts w:hint="eastAsia"/>
        </w:rPr>
        <w:t xml:space="preserve"> Therefore, studies on the long-term performance of chemical admixtures will </w:t>
      </w:r>
      <w:r>
        <w:t>be</w:t>
      </w:r>
      <w:r w:rsidR="00D4417E">
        <w:t xml:space="preserve"> (…)</w:t>
      </w:r>
      <w:r>
        <w:rPr>
          <w:rFonts w:hint="eastAsia"/>
        </w:rPr>
        <w:t xml:space="preserve"> </w:t>
      </w:r>
    </w:p>
    <w:p w14:paraId="4D2FDB1E" w14:textId="77777777" w:rsidR="00B763D8" w:rsidRDefault="00B13825">
      <w:pPr>
        <w:pStyle w:val="Heading1"/>
        <w:spacing w:line="480" w:lineRule="auto"/>
      </w:pPr>
      <w:r>
        <w:rPr>
          <w:rFonts w:hint="eastAsia"/>
        </w:rPr>
        <w:t>RESEARCH SIGNIFICANCE</w:t>
      </w:r>
      <w:r>
        <w:t xml:space="preserve"> </w:t>
      </w:r>
    </w:p>
    <w:p w14:paraId="13848D54" w14:textId="54809D21" w:rsidR="00B13825" w:rsidRPr="00005906" w:rsidRDefault="00B13825">
      <w:pPr>
        <w:pStyle w:val="Heading1"/>
        <w:spacing w:line="480" w:lineRule="auto"/>
        <w:rPr>
          <w:b w:val="0"/>
          <w:bCs w:val="0"/>
          <w:u w:val="single"/>
        </w:rPr>
      </w:pPr>
      <w:r w:rsidRPr="00005906">
        <w:rPr>
          <w:b w:val="0"/>
          <w:bCs w:val="0"/>
          <w:color w:val="4472C4" w:themeColor="accent1"/>
          <w:u w:val="single"/>
        </w:rPr>
        <w:t>(100 Words Maximum</w:t>
      </w:r>
      <w:r w:rsidR="00B763D8" w:rsidRPr="00005906">
        <w:rPr>
          <w:b w:val="0"/>
          <w:bCs w:val="0"/>
          <w:color w:val="4472C4" w:themeColor="accent1"/>
          <w:u w:val="single"/>
        </w:rPr>
        <w:t>; should identify the significance and potential impact of the reported work on the state of the art or state of practice</w:t>
      </w:r>
      <w:r w:rsidRPr="00005906">
        <w:rPr>
          <w:b w:val="0"/>
          <w:bCs w:val="0"/>
          <w:color w:val="4472C4" w:themeColor="accent1"/>
          <w:u w:val="single"/>
        </w:rPr>
        <w:t>)</w:t>
      </w:r>
    </w:p>
    <w:p w14:paraId="5F2E7D12" w14:textId="0BF540CD" w:rsidR="00B13825" w:rsidRDefault="00B13825">
      <w:pPr>
        <w:spacing w:line="480" w:lineRule="auto"/>
        <w:jc w:val="both"/>
      </w:pPr>
      <w:r>
        <w:t>Different</w:t>
      </w:r>
      <w:r>
        <w:rPr>
          <w:rFonts w:hint="eastAsia"/>
        </w:rPr>
        <w:t xml:space="preserve"> types of high-range water-reducing and air-entraining chemical admixtures were developed in the last couple of decades. Most of the studies on these admixtures were carried out to judge the properties of fresh concrete, or the properties of concrete at </w:t>
      </w:r>
      <w:r>
        <w:t>an</w:t>
      </w:r>
      <w:r>
        <w:rPr>
          <w:rFonts w:hint="eastAsia"/>
        </w:rPr>
        <w:t xml:space="preserve"> early age. Studies on the long-term performance of concrete made with different water-reducing admixtures are very scarce in the technical literatures. The authors believe that this detail</w:t>
      </w:r>
      <w:r w:rsidR="00591269">
        <w:t>ed</w:t>
      </w:r>
      <w:r>
        <w:rPr>
          <w:rFonts w:hint="eastAsia"/>
        </w:rPr>
        <w:t xml:space="preserve"> study dealing with the long-term performance of </w:t>
      </w:r>
      <w:r>
        <w:t>different</w:t>
      </w:r>
      <w:r>
        <w:rPr>
          <w:rFonts w:hint="eastAsia"/>
        </w:rPr>
        <w:t xml:space="preserve"> chemical admixtures is carried out </w:t>
      </w:r>
      <w:r>
        <w:t>for</w:t>
      </w:r>
      <w:r>
        <w:rPr>
          <w:rFonts w:hint="eastAsia"/>
        </w:rPr>
        <w:t xml:space="preserve"> the first time and will be very useful to concrete technology</w:t>
      </w:r>
      <w:r w:rsidR="00005906">
        <w:t>. (…)</w:t>
      </w:r>
    </w:p>
    <w:p w14:paraId="1581062A" w14:textId="66014074" w:rsidR="00B13825" w:rsidRDefault="00B13825">
      <w:pPr>
        <w:pStyle w:val="Heading3"/>
        <w:keepNext w:val="0"/>
        <w:spacing w:line="480" w:lineRule="auto"/>
        <w:ind w:firstLine="0"/>
        <w:rPr>
          <w:bCs/>
          <w:caps/>
        </w:rPr>
      </w:pPr>
      <w:r>
        <w:rPr>
          <w:bCs/>
          <w:caps/>
        </w:rPr>
        <w:t>Experimental Investigation</w:t>
      </w:r>
      <w:r w:rsidR="00005906">
        <w:rPr>
          <w:bCs/>
          <w:caps/>
        </w:rPr>
        <w:t xml:space="preserve"> (Or experimental procedure)</w:t>
      </w:r>
    </w:p>
    <w:p w14:paraId="6215958B" w14:textId="31A803C5" w:rsidR="00005906" w:rsidRPr="0055515C" w:rsidRDefault="0055515C" w:rsidP="00005906">
      <w:pPr>
        <w:spacing w:line="480" w:lineRule="auto"/>
        <w:jc w:val="center"/>
        <w:rPr>
          <w:u w:val="single"/>
        </w:rPr>
      </w:pPr>
      <w:r w:rsidRPr="0055515C">
        <w:rPr>
          <w:color w:val="4472C4" w:themeColor="accent1"/>
          <w:u w:val="single"/>
        </w:rPr>
        <w:t>(This section may involve laboratory investigations and/or field investigations)</w:t>
      </w:r>
    </w:p>
    <w:p w14:paraId="63397A8A" w14:textId="28ECA410" w:rsidR="00B13825" w:rsidRPr="00F27E77" w:rsidRDefault="00B13825" w:rsidP="00F27E77">
      <w:pPr>
        <w:pStyle w:val="BodyText2"/>
        <w:widowControl/>
        <w:spacing w:line="480" w:lineRule="auto"/>
        <w:rPr>
          <w:snapToGrid/>
          <w:szCs w:val="24"/>
        </w:rPr>
      </w:pPr>
      <w:r>
        <w:rPr>
          <w:rFonts w:hint="eastAsia"/>
          <w:snapToGrid/>
          <w:szCs w:val="24"/>
        </w:rPr>
        <w:t xml:space="preserve">Cylinder specimens with and without steel reinforcements </w:t>
      </w:r>
      <w:r>
        <w:rPr>
          <w:snapToGrid/>
          <w:szCs w:val="24"/>
        </w:rPr>
        <w:t>(</w:t>
      </w:r>
      <w:r w:rsidR="00BB009B">
        <w:rPr>
          <w:snapToGrid/>
          <w:szCs w:val="24"/>
        </w:rPr>
        <w:t>3.94</w:t>
      </w:r>
      <w:r>
        <w:rPr>
          <w:snapToGrid/>
          <w:szCs w:val="24"/>
        </w:rPr>
        <w:t xml:space="preserve"> in. [</w:t>
      </w:r>
      <w:r>
        <w:rPr>
          <w:rFonts w:hint="eastAsia"/>
          <w:snapToGrid/>
          <w:szCs w:val="24"/>
        </w:rPr>
        <w:t>100 mm</w:t>
      </w:r>
      <w:r>
        <w:rPr>
          <w:snapToGrid/>
          <w:szCs w:val="24"/>
        </w:rPr>
        <w:t>]</w:t>
      </w:r>
      <w:r>
        <w:rPr>
          <w:rFonts w:hint="eastAsia"/>
          <w:snapToGrid/>
          <w:szCs w:val="24"/>
        </w:rPr>
        <w:t xml:space="preserve"> diameter and </w:t>
      </w:r>
      <w:r w:rsidR="00BB009B">
        <w:rPr>
          <w:snapToGrid/>
          <w:szCs w:val="24"/>
        </w:rPr>
        <w:t>7.87</w:t>
      </w:r>
      <w:r>
        <w:rPr>
          <w:snapToGrid/>
          <w:szCs w:val="24"/>
        </w:rPr>
        <w:t xml:space="preserve"> in. [</w:t>
      </w:r>
      <w:r>
        <w:rPr>
          <w:rFonts w:hint="eastAsia"/>
          <w:snapToGrid/>
          <w:szCs w:val="24"/>
        </w:rPr>
        <w:t>200 mm</w:t>
      </w:r>
      <w:r>
        <w:rPr>
          <w:snapToGrid/>
          <w:szCs w:val="24"/>
        </w:rPr>
        <w:t>]</w:t>
      </w:r>
      <w:r>
        <w:rPr>
          <w:rFonts w:hint="eastAsia"/>
          <w:snapToGrid/>
          <w:szCs w:val="24"/>
        </w:rPr>
        <w:t xml:space="preserve"> height</w:t>
      </w:r>
      <w:r w:rsidR="00EB65FC">
        <w:rPr>
          <w:snapToGrid/>
          <w:szCs w:val="24"/>
        </w:rPr>
        <w:t xml:space="preserve"> </w:t>
      </w:r>
      <w:r w:rsidR="00EB65FC" w:rsidRPr="00EB65FC">
        <w:rPr>
          <w:snapToGrid/>
          <w:color w:val="4472C4" w:themeColor="accent1"/>
          <w:szCs w:val="24"/>
        </w:rPr>
        <w:t>[unit example 1]</w:t>
      </w:r>
      <w:r>
        <w:rPr>
          <w:snapToGrid/>
          <w:szCs w:val="24"/>
        </w:rPr>
        <w:t xml:space="preserve">) </w:t>
      </w:r>
      <w:r>
        <w:rPr>
          <w:rFonts w:hint="eastAsia"/>
          <w:snapToGrid/>
          <w:szCs w:val="24"/>
        </w:rPr>
        <w:t xml:space="preserve">of </w:t>
      </w:r>
      <w:r>
        <w:rPr>
          <w:snapToGrid/>
          <w:szCs w:val="24"/>
        </w:rPr>
        <w:t>19</w:t>
      </w:r>
      <w:r>
        <w:rPr>
          <w:rFonts w:hint="eastAsia"/>
          <w:snapToGrid/>
          <w:szCs w:val="24"/>
        </w:rPr>
        <w:t xml:space="preserve"> separate cases were investigated. The variables include cement types (ordinary </w:t>
      </w:r>
      <w:proofErr w:type="spellStart"/>
      <w:r>
        <w:rPr>
          <w:rFonts w:hint="eastAsia"/>
          <w:snapToGrid/>
          <w:szCs w:val="24"/>
        </w:rPr>
        <w:t>portland</w:t>
      </w:r>
      <w:proofErr w:type="spellEnd"/>
      <w:r>
        <w:rPr>
          <w:rFonts w:hint="eastAsia"/>
          <w:snapToGrid/>
          <w:szCs w:val="24"/>
        </w:rPr>
        <w:t xml:space="preserve"> cement, blended cement replaced by slag powder of 4080 and 7900 cm</w:t>
      </w:r>
      <w:r>
        <w:rPr>
          <w:rFonts w:hint="eastAsia"/>
          <w:snapToGrid/>
          <w:szCs w:val="24"/>
          <w:vertAlign w:val="superscript"/>
        </w:rPr>
        <w:t>2</w:t>
      </w:r>
      <w:r>
        <w:rPr>
          <w:rFonts w:hint="eastAsia"/>
          <w:snapToGrid/>
          <w:szCs w:val="24"/>
        </w:rPr>
        <w:t>/g</w:t>
      </w:r>
      <w:r w:rsidR="00EB65FC">
        <w:rPr>
          <w:snapToGrid/>
          <w:szCs w:val="24"/>
        </w:rPr>
        <w:t xml:space="preserve"> </w:t>
      </w:r>
      <w:r w:rsidR="00EB65FC" w:rsidRPr="00EB65FC">
        <w:rPr>
          <w:snapToGrid/>
          <w:color w:val="4472C4" w:themeColor="accent1"/>
          <w:szCs w:val="24"/>
        </w:rPr>
        <w:t>[unit example 2]</w:t>
      </w:r>
      <w:r>
        <w:rPr>
          <w:rFonts w:hint="eastAsia"/>
          <w:snapToGrid/>
          <w:szCs w:val="24"/>
        </w:rPr>
        <w:t>), air</w:t>
      </w:r>
      <w:r>
        <w:rPr>
          <w:snapToGrid/>
          <w:szCs w:val="24"/>
        </w:rPr>
        <w:t>-</w:t>
      </w:r>
      <w:r>
        <w:rPr>
          <w:rFonts w:hint="eastAsia"/>
          <w:snapToGrid/>
          <w:szCs w:val="24"/>
        </w:rPr>
        <w:t>entraining (</w:t>
      </w:r>
      <w:proofErr w:type="spellStart"/>
      <w:r>
        <w:rPr>
          <w:rFonts w:hint="eastAsia"/>
          <w:snapToGrid/>
          <w:szCs w:val="24"/>
        </w:rPr>
        <w:t>vinsol</w:t>
      </w:r>
      <w:proofErr w:type="spellEnd"/>
      <w:r>
        <w:rPr>
          <w:rFonts w:hint="eastAsia"/>
          <w:snapToGrid/>
          <w:szCs w:val="24"/>
        </w:rPr>
        <w:t>) chemical admixture, water</w:t>
      </w:r>
      <w:r>
        <w:rPr>
          <w:snapToGrid/>
          <w:szCs w:val="24"/>
        </w:rPr>
        <w:t>-</w:t>
      </w:r>
      <w:r>
        <w:rPr>
          <w:rFonts w:hint="eastAsia"/>
          <w:snapToGrid/>
          <w:szCs w:val="24"/>
        </w:rPr>
        <w:t xml:space="preserve">reducing (lignosulfonate type) chemical admixture, high-range water-reducing and air-entraining (naphthalene, melamine, </w:t>
      </w:r>
      <w:proofErr w:type="spellStart"/>
      <w:r>
        <w:rPr>
          <w:rFonts w:hint="eastAsia"/>
          <w:snapToGrid/>
          <w:szCs w:val="24"/>
        </w:rPr>
        <w:t>polycarboxyl</w:t>
      </w:r>
      <w:proofErr w:type="spellEnd"/>
      <w:r>
        <w:rPr>
          <w:rFonts w:hint="eastAsia"/>
          <w:snapToGrid/>
          <w:szCs w:val="24"/>
        </w:rPr>
        <w:t>, and ami</w:t>
      </w:r>
      <w:r w:rsidR="007604FF">
        <w:rPr>
          <w:snapToGrid/>
          <w:szCs w:val="24"/>
        </w:rPr>
        <w:t>no</w:t>
      </w:r>
      <w:r>
        <w:rPr>
          <w:rFonts w:hint="eastAsia"/>
          <w:snapToGrid/>
          <w:szCs w:val="24"/>
        </w:rPr>
        <w:t>-sulfonate types) chemical admixture, drying</w:t>
      </w:r>
      <w:r>
        <w:rPr>
          <w:snapToGrid/>
          <w:szCs w:val="24"/>
        </w:rPr>
        <w:t>-</w:t>
      </w:r>
      <w:r>
        <w:rPr>
          <w:rFonts w:hint="eastAsia"/>
          <w:snapToGrid/>
          <w:szCs w:val="24"/>
        </w:rPr>
        <w:t>shrinkage</w:t>
      </w:r>
      <w:r>
        <w:rPr>
          <w:snapToGrid/>
          <w:szCs w:val="24"/>
        </w:rPr>
        <w:t>-</w:t>
      </w:r>
      <w:r>
        <w:rPr>
          <w:rFonts w:hint="eastAsia"/>
          <w:snapToGrid/>
          <w:szCs w:val="24"/>
        </w:rPr>
        <w:t xml:space="preserve">reducing chemical admixture (glycol ether plus amino alcohol derivatives), slag content, and </w:t>
      </w:r>
      <w:r>
        <w:rPr>
          <w:i/>
          <w:iCs/>
          <w:snapToGrid/>
          <w:szCs w:val="24"/>
        </w:rPr>
        <w:t>w</w:t>
      </w:r>
      <w:r w:rsidRPr="00016D7C">
        <w:rPr>
          <w:snapToGrid/>
          <w:szCs w:val="24"/>
        </w:rPr>
        <w:t>/</w:t>
      </w:r>
      <w:r>
        <w:rPr>
          <w:i/>
          <w:iCs/>
          <w:snapToGrid/>
          <w:szCs w:val="24"/>
        </w:rPr>
        <w:t>c</w:t>
      </w:r>
      <w:r>
        <w:rPr>
          <w:rFonts w:hint="eastAsia"/>
          <w:snapToGrid/>
          <w:szCs w:val="24"/>
        </w:rPr>
        <w:t xml:space="preserve">. The specimens were exposed to a tidal pool for 10 years </w:t>
      </w:r>
      <w:r>
        <w:rPr>
          <w:snapToGrid/>
          <w:szCs w:val="24"/>
        </w:rPr>
        <w:lastRenderedPageBreak/>
        <w:t>using</w:t>
      </w:r>
      <w:r>
        <w:rPr>
          <w:rFonts w:hint="eastAsia"/>
          <w:snapToGrid/>
          <w:szCs w:val="24"/>
        </w:rPr>
        <w:t xml:space="preserve"> seawater. In each case, four specimens without reinforcement and three specimens with reinforcement were </w:t>
      </w:r>
      <w:r>
        <w:rPr>
          <w:snapToGrid/>
          <w:szCs w:val="24"/>
        </w:rPr>
        <w:t>investigated</w:t>
      </w:r>
      <w:r w:rsidR="00016D7C">
        <w:rPr>
          <w:snapToGrid/>
          <w:szCs w:val="24"/>
        </w:rPr>
        <w:t>.</w:t>
      </w:r>
      <w:r w:rsidR="00F27E77">
        <w:rPr>
          <w:snapToGrid/>
          <w:szCs w:val="24"/>
        </w:rPr>
        <w:t xml:space="preserve"> (…)</w:t>
      </w:r>
    </w:p>
    <w:p w14:paraId="2F1EFBEA" w14:textId="507735B0" w:rsidR="00B13825" w:rsidRDefault="00F27E77">
      <w:pPr>
        <w:pStyle w:val="BodyTextIndent"/>
        <w:spacing w:line="480" w:lineRule="auto"/>
        <w:ind w:firstLine="0"/>
        <w:jc w:val="left"/>
        <w:rPr>
          <w:b/>
        </w:rPr>
      </w:pPr>
      <w:r>
        <w:rPr>
          <w:b/>
        </w:rPr>
        <w:t>Heading 2 (Sentence case, please)</w:t>
      </w:r>
    </w:p>
    <w:p w14:paraId="52B31C8B" w14:textId="692AA736" w:rsidR="00B13825" w:rsidRDefault="00B13825">
      <w:pPr>
        <w:spacing w:line="480" w:lineRule="auto"/>
        <w:jc w:val="both"/>
      </w:pPr>
      <w:r>
        <w:rPr>
          <w:rFonts w:hint="eastAsia"/>
        </w:rPr>
        <w:t xml:space="preserve">Ordinary </w:t>
      </w:r>
      <w:proofErr w:type="spellStart"/>
      <w:r>
        <w:rPr>
          <w:rFonts w:hint="eastAsia"/>
        </w:rPr>
        <w:t>p</w:t>
      </w:r>
      <w:r>
        <w:t>ortland</w:t>
      </w:r>
      <w:proofErr w:type="spellEnd"/>
      <w:r>
        <w:rPr>
          <w:rFonts w:hint="eastAsia"/>
        </w:rPr>
        <w:t xml:space="preserve"> cement (OPC) and blended cements by replacing a portion of the cement with slag powder were used. Two kinds of slag powders were used with Blaine fineness of </w:t>
      </w:r>
      <w:r w:rsidR="00680051">
        <w:t>approximately</w:t>
      </w:r>
      <w:r>
        <w:rPr>
          <w:rFonts w:hint="eastAsia"/>
        </w:rPr>
        <w:t xml:space="preserve"> 7900 cm</w:t>
      </w:r>
      <w:r>
        <w:rPr>
          <w:rFonts w:hint="eastAsia"/>
          <w:vertAlign w:val="superscript"/>
        </w:rPr>
        <w:t>2</w:t>
      </w:r>
      <w:r>
        <w:rPr>
          <w:rFonts w:hint="eastAsia"/>
        </w:rPr>
        <w:t>/g (Slag 1) and 4080 cm</w:t>
      </w:r>
      <w:r>
        <w:rPr>
          <w:rFonts w:hint="eastAsia"/>
          <w:vertAlign w:val="superscript"/>
        </w:rPr>
        <w:t>2</w:t>
      </w:r>
      <w:r>
        <w:rPr>
          <w:rFonts w:hint="eastAsia"/>
        </w:rPr>
        <w:t xml:space="preserve">/g (Slag 2). The physical properties and chemical analysis of the cement and slag powders are listed in </w:t>
      </w:r>
      <w:r w:rsidRPr="00A80CD4">
        <w:rPr>
          <w:rFonts w:hint="eastAsia"/>
        </w:rPr>
        <w:t>Table 1</w:t>
      </w:r>
      <w:r>
        <w:rPr>
          <w:rFonts w:hint="eastAsia"/>
        </w:rPr>
        <w:t>. River sand and crushed granite coarse aggregates were used. The specific gravity, water absorption</w:t>
      </w:r>
      <w:r>
        <w:t>,</w:t>
      </w:r>
      <w:r>
        <w:rPr>
          <w:rFonts w:hint="eastAsia"/>
        </w:rPr>
        <w:t xml:space="preserve"> and fineness modulus of sand (passing through </w:t>
      </w:r>
      <w:r w:rsidR="00BB009B">
        <w:t>0.20 in. [</w:t>
      </w:r>
      <w:r>
        <w:rPr>
          <w:rFonts w:hint="eastAsia"/>
        </w:rPr>
        <w:t>5 mm</w:t>
      </w:r>
      <w:r w:rsidR="00BB009B">
        <w:t>]</w:t>
      </w:r>
      <w:r>
        <w:rPr>
          <w:rFonts w:hint="eastAsia"/>
        </w:rPr>
        <w:t xml:space="preserve"> sieve opening size) are 2.63, 1.63 and 2.73, respectivel</w:t>
      </w:r>
      <w:r w:rsidR="00AE58CB">
        <w:t>y. (…)</w:t>
      </w:r>
    </w:p>
    <w:p w14:paraId="0656F152" w14:textId="74964E4D" w:rsidR="00B13825" w:rsidRDefault="00B13825" w:rsidP="00441DBA">
      <w:pPr>
        <w:pStyle w:val="BodyTextIndent2"/>
        <w:spacing w:line="480" w:lineRule="auto"/>
        <w:ind w:firstLine="0"/>
      </w:pPr>
      <w:r>
        <w:t>The characteristics of CFRP tendons/CFCC strands</w:t>
      </w:r>
      <w:r>
        <w:rPr>
          <w:rFonts w:hint="eastAsia"/>
        </w:rPr>
        <w:t xml:space="preserve"> are summarized in </w:t>
      </w:r>
      <w:r w:rsidRPr="00A80CD4">
        <w:rPr>
          <w:rFonts w:hint="eastAsia"/>
        </w:rPr>
        <w:t xml:space="preserve">Table </w:t>
      </w:r>
      <w:r w:rsidR="00AE58CB">
        <w:t>2. (…)</w:t>
      </w:r>
    </w:p>
    <w:p w14:paraId="50748C23" w14:textId="77777777" w:rsidR="00B13825" w:rsidRDefault="00B13825">
      <w:pPr>
        <w:pStyle w:val="Heading2"/>
        <w:keepNext w:val="0"/>
        <w:spacing w:line="480" w:lineRule="auto"/>
        <w:jc w:val="left"/>
        <w:rPr>
          <w:bCs/>
          <w:lang w:eastAsia="ja-JP"/>
        </w:rPr>
      </w:pPr>
      <w:r>
        <w:rPr>
          <w:rFonts w:hint="eastAsia"/>
          <w:bCs/>
          <w:lang w:eastAsia="ja-JP"/>
        </w:rPr>
        <w:t>S</w:t>
      </w:r>
      <w:r>
        <w:rPr>
          <w:bCs/>
          <w:lang w:eastAsia="ja-JP"/>
        </w:rPr>
        <w:t>pecimens</w:t>
      </w:r>
    </w:p>
    <w:p w14:paraId="22310125" w14:textId="3D42ECB9" w:rsidR="00B13825" w:rsidRDefault="00B13825">
      <w:pPr>
        <w:spacing w:line="480" w:lineRule="auto"/>
        <w:jc w:val="both"/>
      </w:pPr>
      <w:r>
        <w:rPr>
          <w:rFonts w:hint="eastAsia"/>
        </w:rPr>
        <w:t xml:space="preserve">Plain and reinforced cylinder specimens of diameter </w:t>
      </w:r>
      <w:r w:rsidR="00BB009B">
        <w:t>3.9</w:t>
      </w:r>
      <w:r w:rsidR="00605651">
        <w:t>4 in. (</w:t>
      </w:r>
      <w:r>
        <w:rPr>
          <w:rFonts w:hint="eastAsia"/>
        </w:rPr>
        <w:t>100 mm</w:t>
      </w:r>
      <w:r w:rsidR="00605651">
        <w:t>)</w:t>
      </w:r>
      <w:r>
        <w:rPr>
          <w:rFonts w:hint="eastAsia"/>
        </w:rPr>
        <w:t xml:space="preserve"> and length</w:t>
      </w:r>
      <w:r w:rsidR="00605651">
        <w:t xml:space="preserve"> </w:t>
      </w:r>
      <w:r w:rsidR="00BB009B">
        <w:t>7.</w:t>
      </w:r>
      <w:r w:rsidR="00605651">
        <w:t>8</w:t>
      </w:r>
      <w:r w:rsidR="00BB009B">
        <w:t>7</w:t>
      </w:r>
      <w:r w:rsidR="00605651">
        <w:t xml:space="preserve"> in. (</w:t>
      </w:r>
      <w:r>
        <w:rPr>
          <w:rFonts w:hint="eastAsia"/>
        </w:rPr>
        <w:t>200 mm</w:t>
      </w:r>
      <w:r w:rsidR="00605651">
        <w:t>)</w:t>
      </w:r>
      <w:r>
        <w:rPr>
          <w:rFonts w:hint="eastAsia"/>
        </w:rPr>
        <w:t xml:space="preserve"> were investigated</w:t>
      </w:r>
      <w:r>
        <w:t xml:space="preserve">. The test setup is </w:t>
      </w:r>
      <w:r>
        <w:rPr>
          <w:rFonts w:hint="eastAsia"/>
        </w:rPr>
        <w:t xml:space="preserve">shown in </w:t>
      </w:r>
      <w:r w:rsidRPr="00A80CD4">
        <w:rPr>
          <w:rFonts w:hint="eastAsia"/>
        </w:rPr>
        <w:t>Fig. 1</w:t>
      </w:r>
      <w:r>
        <w:rPr>
          <w:rFonts w:hint="eastAsia"/>
        </w:rPr>
        <w:t xml:space="preserve">. Round steel bars of diameter </w:t>
      </w:r>
      <w:r w:rsidR="00605651">
        <w:t>0.35 in. (</w:t>
      </w:r>
      <w:r>
        <w:rPr>
          <w:rFonts w:hint="eastAsia"/>
        </w:rPr>
        <w:t>9 mm</w:t>
      </w:r>
      <w:r w:rsidR="00605651">
        <w:t>)</w:t>
      </w:r>
      <w:r>
        <w:rPr>
          <w:rFonts w:hint="eastAsia"/>
        </w:rPr>
        <w:t xml:space="preserve"> and length </w:t>
      </w:r>
      <w:r w:rsidR="00605651">
        <w:t>5.51 in. (</w:t>
      </w:r>
      <w:r>
        <w:rPr>
          <w:rFonts w:hint="eastAsia"/>
        </w:rPr>
        <w:t>140 mm</w:t>
      </w:r>
      <w:r w:rsidR="00605651">
        <w:t>)</w:t>
      </w:r>
      <w:r>
        <w:rPr>
          <w:rFonts w:hint="eastAsia"/>
        </w:rPr>
        <w:t xml:space="preserve"> were embedded at cover depths of </w:t>
      </w:r>
      <w:r w:rsidR="00605651">
        <w:t>0.79 and 1.79 in. (</w:t>
      </w:r>
      <w:r>
        <w:rPr>
          <w:rFonts w:hint="eastAsia"/>
        </w:rPr>
        <w:t>20 and 45.5 mm</w:t>
      </w:r>
      <w:r w:rsidR="00605651">
        <w:t>)</w:t>
      </w:r>
      <w:r>
        <w:rPr>
          <w:rFonts w:hint="eastAsia"/>
        </w:rPr>
        <w:t>.</w:t>
      </w:r>
    </w:p>
    <w:p w14:paraId="4D05A788" w14:textId="77777777" w:rsidR="00B13825" w:rsidRDefault="00B13825">
      <w:pPr>
        <w:pStyle w:val="Heading1"/>
        <w:spacing w:line="480" w:lineRule="auto"/>
        <w:jc w:val="left"/>
        <w:rPr>
          <w:bCs w:val="0"/>
        </w:rPr>
      </w:pPr>
      <w:r>
        <w:rPr>
          <w:rFonts w:hint="eastAsia"/>
          <w:bCs w:val="0"/>
        </w:rPr>
        <w:t>I</w:t>
      </w:r>
      <w:r>
        <w:rPr>
          <w:bCs w:val="0"/>
        </w:rPr>
        <w:t>tems</w:t>
      </w:r>
      <w:r>
        <w:rPr>
          <w:rFonts w:hint="eastAsia"/>
          <w:bCs w:val="0"/>
        </w:rPr>
        <w:t xml:space="preserve"> </w:t>
      </w:r>
      <w:r>
        <w:rPr>
          <w:bCs w:val="0"/>
        </w:rPr>
        <w:t>of</w:t>
      </w:r>
      <w:r>
        <w:rPr>
          <w:rFonts w:hint="eastAsia"/>
          <w:bCs w:val="0"/>
        </w:rPr>
        <w:t xml:space="preserve"> </w:t>
      </w:r>
      <w:r>
        <w:rPr>
          <w:bCs w:val="0"/>
        </w:rPr>
        <w:t>investigation</w:t>
      </w:r>
    </w:p>
    <w:p w14:paraId="234F9471" w14:textId="4FE0577F" w:rsidR="00B13825" w:rsidRDefault="00B13825">
      <w:pPr>
        <w:spacing w:line="480" w:lineRule="auto"/>
        <w:jc w:val="both"/>
      </w:pPr>
      <w:r>
        <w:rPr>
          <w:rFonts w:hint="eastAsia"/>
        </w:rPr>
        <w:t>At the age of 28</w:t>
      </w:r>
      <w:r>
        <w:t xml:space="preserve"> </w:t>
      </w:r>
      <w:r>
        <w:rPr>
          <w:rFonts w:hint="eastAsia"/>
        </w:rPr>
        <w:t>days, plain concrete specimens were tested for compressive strength and Young</w:t>
      </w:r>
      <w:r>
        <w:t>’</w:t>
      </w:r>
      <w:r>
        <w:rPr>
          <w:rFonts w:hint="eastAsia"/>
        </w:rPr>
        <w:t>s modulus of elasticity of concrete as per JIS A1108 and JSCE G502, respectively. Also, after 10</w:t>
      </w:r>
      <w:r>
        <w:t xml:space="preserve"> </w:t>
      </w:r>
      <w:r>
        <w:rPr>
          <w:rFonts w:hint="eastAsia"/>
        </w:rPr>
        <w:t>year</w:t>
      </w:r>
      <w:r>
        <w:t>s</w:t>
      </w:r>
      <w:r>
        <w:rPr>
          <w:rFonts w:hint="eastAsia"/>
        </w:rPr>
        <w:t xml:space="preserve"> of continuous exposure, the specimens were transferred from the exposure site to the laboratory</w:t>
      </w:r>
      <w:r>
        <w:t>,</w:t>
      </w:r>
      <w:r>
        <w:rPr>
          <w:rFonts w:hint="eastAsia"/>
        </w:rPr>
        <w:t xml:space="preserve"> cleaned</w:t>
      </w:r>
      <w:r>
        <w:t>,</w:t>
      </w:r>
      <w:r>
        <w:rPr>
          <w:rFonts w:hint="eastAsia"/>
        </w:rPr>
        <w:t xml:space="preserve"> and then tested for compressive strength and Young</w:t>
      </w:r>
      <w:r>
        <w:t>’</w:t>
      </w:r>
      <w:r>
        <w:rPr>
          <w:rFonts w:hint="eastAsia"/>
        </w:rPr>
        <w:t>s modulus of elasticity</w:t>
      </w:r>
      <w:r w:rsidR="00AE58CB">
        <w:t>. (…)</w:t>
      </w:r>
    </w:p>
    <w:p w14:paraId="363FE11B" w14:textId="4C162460" w:rsidR="00441DBA" w:rsidRDefault="00016D7C" w:rsidP="00016D7C">
      <w:pPr>
        <w:spacing w:line="480" w:lineRule="auto"/>
        <w:jc w:val="both"/>
      </w:pPr>
      <w:r w:rsidRPr="00016D7C">
        <w:rPr>
          <w:i/>
          <w:iCs/>
        </w:rPr>
        <w:t>Heading 3</w:t>
      </w:r>
      <w:r>
        <w:rPr>
          <w:i/>
          <w:iCs/>
        </w:rPr>
        <w:t>, if this level is necessary</w:t>
      </w:r>
      <w:r>
        <w:t>—Content will follow.</w:t>
      </w:r>
    </w:p>
    <w:p w14:paraId="482CED60" w14:textId="3D936BD5" w:rsidR="00016D7C" w:rsidRDefault="00016D7C" w:rsidP="00016D7C">
      <w:pPr>
        <w:spacing w:line="480" w:lineRule="auto"/>
        <w:jc w:val="both"/>
      </w:pPr>
      <w:r w:rsidRPr="00016D7C">
        <w:rPr>
          <w:b/>
          <w:bCs/>
        </w:rPr>
        <w:t>Heading 4</w:t>
      </w:r>
      <w:r>
        <w:rPr>
          <w:b/>
          <w:bCs/>
        </w:rPr>
        <w:t>, if this level is necessary</w:t>
      </w:r>
      <w:r w:rsidRPr="00016D7C">
        <w:rPr>
          <w:b/>
          <w:bCs/>
        </w:rPr>
        <w:t>:</w:t>
      </w:r>
      <w:r>
        <w:t xml:space="preserve"> Content will follow.</w:t>
      </w:r>
    </w:p>
    <w:p w14:paraId="3EFE6E9F" w14:textId="77777777" w:rsidR="00B13825" w:rsidRDefault="00B13825">
      <w:pPr>
        <w:pStyle w:val="BodyText"/>
        <w:spacing w:line="480" w:lineRule="auto"/>
        <w:rPr>
          <w:b/>
          <w:bCs/>
          <w:caps/>
        </w:rPr>
      </w:pPr>
      <w:r>
        <w:rPr>
          <w:b/>
          <w:bCs/>
          <w:caps/>
        </w:rPr>
        <w:t xml:space="preserve">Analytical </w:t>
      </w:r>
      <w:r w:rsidRPr="00441DBA">
        <w:rPr>
          <w:b/>
          <w:bCs/>
          <w:caps/>
        </w:rPr>
        <w:t xml:space="preserve">investigation </w:t>
      </w:r>
      <w:r w:rsidRPr="000F739D">
        <w:rPr>
          <w:b/>
          <w:bCs/>
          <w:caps/>
          <w:color w:val="4472C4" w:themeColor="accent1"/>
        </w:rPr>
        <w:t>(or analytical procedure)</w:t>
      </w:r>
    </w:p>
    <w:p w14:paraId="1FB2FFD2" w14:textId="1E16BE39" w:rsidR="00441DBA" w:rsidRPr="00E72A0B" w:rsidRDefault="00E72A0B">
      <w:pPr>
        <w:pStyle w:val="BodyText"/>
        <w:spacing w:line="480" w:lineRule="auto"/>
        <w:rPr>
          <w:u w:val="single"/>
        </w:rPr>
      </w:pPr>
      <w:r w:rsidRPr="00E72A0B">
        <w:rPr>
          <w:color w:val="4472C4" w:themeColor="accent1"/>
          <w:u w:val="single"/>
        </w:rPr>
        <w:lastRenderedPageBreak/>
        <w:t>(This section may include development of models and/or verification of existing procedures)</w:t>
      </w:r>
    </w:p>
    <w:p w14:paraId="41E68CBF" w14:textId="26D23E57" w:rsidR="00B13825" w:rsidRDefault="00B13825">
      <w:pPr>
        <w:spacing w:line="480" w:lineRule="auto"/>
        <w:jc w:val="both"/>
      </w:pPr>
      <w:r>
        <w:t>The maximum prestress force in the CFRP tendons should be limited to 65% of the specified tensile strength of tendons</w:t>
      </w:r>
      <w:r w:rsidR="00666231">
        <w:t>.</w:t>
      </w:r>
      <w:r>
        <w:rPr>
          <w:vertAlign w:val="superscript"/>
        </w:rPr>
        <w:t>4,5</w:t>
      </w:r>
      <w:r>
        <w:t xml:space="preserve"> It is suggested by Hognested</w:t>
      </w:r>
      <w:r>
        <w:rPr>
          <w:vertAlign w:val="superscript"/>
        </w:rPr>
        <w:t>14</w:t>
      </w:r>
      <w:r>
        <w:t xml:space="preserve"> that an appropriate value of the elastic modulus of a concrete member, subjected to bending and axial load, can be obtained from</w:t>
      </w:r>
    </w:p>
    <w:p w14:paraId="44B26410" w14:textId="3A8BBD8F" w:rsidR="00B13825" w:rsidRDefault="008A5E9C" w:rsidP="008A5E9C">
      <w:pPr>
        <w:pStyle w:val="EQUATION"/>
      </w:pPr>
      <w:r>
        <w:tab/>
      </w:r>
      <w:r w:rsidR="0098753A" w:rsidRPr="0098753A">
        <w:object w:dxaOrig="2280" w:dyaOrig="360" w14:anchorId="5C062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1pt;height:18.25pt" o:ole="" fillcolor="window">
            <v:imagedata r:id="rId10" o:title=""/>
          </v:shape>
          <o:OLEObject Type="Embed" ProgID="Equation.DSMT4" ShapeID="_x0000_i1025" DrawAspect="Content" ObjectID="_1791374584" r:id="rId11"/>
        </w:object>
      </w:r>
      <w:r>
        <w:tab/>
      </w:r>
      <w:r w:rsidR="00B13825">
        <w:t>(1)</w:t>
      </w:r>
    </w:p>
    <w:p w14:paraId="0AB58A24" w14:textId="7F031B25" w:rsidR="00B13825" w:rsidRDefault="00B13825">
      <w:pPr>
        <w:spacing w:line="480" w:lineRule="auto"/>
      </w:pPr>
      <w:r>
        <w:t xml:space="preserve">where </w:t>
      </w:r>
      <w:r w:rsidR="0098753A" w:rsidRPr="0098753A">
        <w:rPr>
          <w:i/>
          <w:iCs/>
        </w:rPr>
        <w:t>f</w:t>
      </w:r>
      <w:r w:rsidR="0098753A" w:rsidRPr="0098753A">
        <w:rPr>
          <w:i/>
          <w:iCs/>
          <w:vertAlign w:val="subscript"/>
        </w:rPr>
        <w:t>c</w:t>
      </w:r>
      <w:r w:rsidR="0098753A" w:rsidRPr="0098753A">
        <w:t>′</w:t>
      </w:r>
      <w:r>
        <w:t xml:space="preserve"> is the cylinder strength of concrete</w:t>
      </w:r>
      <w:r w:rsidR="00FC1356">
        <w:t xml:space="preserve"> (…)</w:t>
      </w:r>
    </w:p>
    <w:p w14:paraId="71812FC3" w14:textId="54FFAFF3" w:rsidR="00B13825" w:rsidRDefault="003A4CD8" w:rsidP="003A4CD8">
      <w:pPr>
        <w:spacing w:line="480" w:lineRule="auto"/>
        <w:jc w:val="center"/>
      </w:pPr>
      <w:r>
        <w:tab/>
      </w:r>
      <w:r w:rsidR="00C01A23" w:rsidRPr="00C01A23">
        <w:rPr>
          <w:position w:val="-10"/>
        </w:rPr>
        <w:object w:dxaOrig="279" w:dyaOrig="300" w14:anchorId="7EE19519">
          <v:shape id="_x0000_i1026" type="#_x0000_t75" style="width:14.5pt;height:15.45pt" o:ole="">
            <v:imagedata r:id="rId12" o:title=""/>
          </v:shape>
          <o:OLEObject Type="Embed" ProgID="Equation.DSMT4" ShapeID="_x0000_i1026" DrawAspect="Content" ObjectID="_1791374585" r:id="rId13"/>
        </w:object>
      </w:r>
      <w:r w:rsidR="00B13825">
        <w:t xml:space="preserve"> = 0.85</w:t>
      </w:r>
      <w:r w:rsidR="00B13825" w:rsidRPr="00C01A23">
        <w:rPr>
          <w:rFonts w:ascii="Symbol" w:eastAsia="Symbol" w:hAnsi="Symbol" w:cs="Symbol"/>
          <w:i/>
          <w:iCs/>
        </w:rPr>
        <w:t>b</w:t>
      </w:r>
      <w:r w:rsidR="00B13825">
        <w:rPr>
          <w:vertAlign w:val="subscript"/>
        </w:rPr>
        <w:t>1</w:t>
      </w:r>
      <w:r w:rsidR="00B13825">
        <w:t xml:space="preserve"> </w:t>
      </w:r>
      <w:r w:rsidR="00B13825">
        <w:rPr>
          <w:position w:val="-10"/>
        </w:rPr>
        <w:object w:dxaOrig="180" w:dyaOrig="340" w14:anchorId="2F21CE01">
          <v:shape id="_x0000_i1027" type="#_x0000_t75" style="width:9.35pt;height:17.3pt" o:ole="">
            <v:imagedata r:id="rId14" o:title=""/>
          </v:shape>
          <o:OLEObject Type="Embed" ProgID="Equation.3" ShapeID="_x0000_i1027" DrawAspect="Content" ObjectID="_1791374586" r:id="rId15"/>
        </w:object>
      </w:r>
      <w:r w:rsidRPr="0098753A">
        <w:rPr>
          <w:position w:val="-34"/>
        </w:rPr>
        <w:object w:dxaOrig="1680" w:dyaOrig="700" w14:anchorId="3EE8C1D2">
          <v:shape id="_x0000_i1028" type="#_x0000_t75" style="width:84.15pt;height:35.55pt" o:ole="">
            <v:imagedata r:id="rId16" o:title=""/>
          </v:shape>
          <o:OLEObject Type="Embed" ProgID="Equation.DSMT4" ShapeID="_x0000_i1028" DrawAspect="Content" ObjectID="_1791374587" r:id="rId17"/>
        </w:object>
      </w:r>
      <w:r>
        <w:tab/>
      </w:r>
      <w:r w:rsidR="00B13825">
        <w:t>(18)</w:t>
      </w:r>
    </w:p>
    <w:p w14:paraId="0345CFF7" w14:textId="1FE4CCC0" w:rsidR="00C84686" w:rsidRDefault="00B13825" w:rsidP="00A80CD4">
      <w:pPr>
        <w:spacing w:line="480" w:lineRule="auto"/>
        <w:jc w:val="both"/>
      </w:pPr>
      <w:r>
        <w:t xml:space="preserve">where </w:t>
      </w:r>
      <w:r w:rsidRPr="00116318">
        <w:rPr>
          <w:rFonts w:ascii="Symbol" w:eastAsia="Symbol" w:hAnsi="Symbol" w:cs="Symbol"/>
          <w:i/>
          <w:iCs/>
        </w:rPr>
        <w:t>b</w:t>
      </w:r>
      <w:r>
        <w:rPr>
          <w:vertAlign w:val="subscript"/>
        </w:rPr>
        <w:t>1</w:t>
      </w:r>
      <w:r>
        <w:t xml:space="preserve"> </w:t>
      </w:r>
      <w:r w:rsidR="00A80CD4">
        <w:t xml:space="preserve">is </w:t>
      </w:r>
      <w:r w:rsidR="00C84686">
        <w:t xml:space="preserve">the </w:t>
      </w:r>
      <w:r>
        <w:t xml:space="preserve">factor defined as the ratio of the depth of equivalent rectangular stress block to the distance from the extreme compression fiber to the neutral axis; </w:t>
      </w:r>
      <w:r w:rsidR="0098753A" w:rsidRPr="0098753A">
        <w:rPr>
          <w:i/>
          <w:iCs/>
        </w:rPr>
        <w:t>f</w:t>
      </w:r>
      <w:r w:rsidR="0098753A" w:rsidRPr="0098753A">
        <w:rPr>
          <w:i/>
          <w:iCs/>
          <w:vertAlign w:val="subscript"/>
        </w:rPr>
        <w:t>c</w:t>
      </w:r>
      <w:r w:rsidR="0098753A" w:rsidRPr="0098753A">
        <w:t>′</w:t>
      </w:r>
      <w:r>
        <w:t xml:space="preserve"> </w:t>
      </w:r>
      <w:r w:rsidR="00A80CD4">
        <w:t>is</w:t>
      </w:r>
      <w:r>
        <w:t xml:space="preserve"> specified compressive strength of concrete;</w:t>
      </w:r>
      <w:r w:rsidR="00A80CD4">
        <w:t xml:space="preserve"> </w:t>
      </w:r>
      <w:proofErr w:type="spellStart"/>
      <w:r>
        <w:rPr>
          <w:i/>
          <w:iCs/>
        </w:rPr>
        <w:t>f</w:t>
      </w:r>
      <w:r>
        <w:rPr>
          <w:i/>
          <w:iCs/>
          <w:vertAlign w:val="subscript"/>
        </w:rPr>
        <w:t>fu</w:t>
      </w:r>
      <w:proofErr w:type="spellEnd"/>
      <w:r>
        <w:t xml:space="preserve"> </w:t>
      </w:r>
      <w:r w:rsidR="00A80CD4">
        <w:t>is</w:t>
      </w:r>
      <w:r>
        <w:t xml:space="preserve"> specified tensile strength of bonded prestressing tendons; and</w:t>
      </w:r>
      <w:r w:rsidR="00A80CD4">
        <w:t xml:space="preserve"> </w:t>
      </w:r>
      <w:r>
        <w:rPr>
          <w:rFonts w:ascii="Symbol" w:eastAsia="Symbol" w:hAnsi="Symbol" w:cs="Symbol"/>
        </w:rPr>
        <w:t>e</w:t>
      </w:r>
      <w:proofErr w:type="spellStart"/>
      <w:r>
        <w:rPr>
          <w:i/>
          <w:iCs/>
          <w:vertAlign w:val="subscript"/>
        </w:rPr>
        <w:t>pbmi</w:t>
      </w:r>
      <w:proofErr w:type="spellEnd"/>
      <w:r>
        <w:t xml:space="preserve"> </w:t>
      </w:r>
      <w:r w:rsidR="00A80CD4">
        <w:t>is</w:t>
      </w:r>
      <w:r>
        <w:t xml:space="preserve"> initial prestressing strain in bonded prestressing tendons of </w:t>
      </w:r>
      <w:r>
        <w:rPr>
          <w:i/>
          <w:iCs/>
        </w:rPr>
        <w:t>m</w:t>
      </w:r>
      <w:r>
        <w:t>-</w:t>
      </w:r>
      <w:proofErr w:type="spellStart"/>
      <w:r>
        <w:t>th</w:t>
      </w:r>
      <w:proofErr w:type="spellEnd"/>
      <w:r>
        <w:t xml:space="preserve"> row (bottom row).</w:t>
      </w:r>
    </w:p>
    <w:p w14:paraId="20526EB5" w14:textId="770FA4BE" w:rsidR="00C84686" w:rsidRPr="00C84686" w:rsidRDefault="00B13825" w:rsidP="00C84686">
      <w:pPr>
        <w:pStyle w:val="Heading1"/>
        <w:spacing w:line="480" w:lineRule="auto"/>
        <w:rPr>
          <w:b w:val="0"/>
          <w:bCs w:val="0"/>
        </w:rPr>
      </w:pPr>
      <w:r>
        <w:rPr>
          <w:caps/>
        </w:rPr>
        <w:t>Comparison of predictions and experimental results</w:t>
      </w:r>
    </w:p>
    <w:p w14:paraId="4DCBCD96" w14:textId="14829BD2" w:rsidR="00B13825" w:rsidRPr="00B839DB" w:rsidRDefault="00B13825" w:rsidP="00B839DB">
      <w:pPr>
        <w:pStyle w:val="BodyText2"/>
        <w:widowControl/>
        <w:spacing w:line="480" w:lineRule="auto"/>
        <w:rPr>
          <w:bCs/>
          <w:snapToGrid/>
          <w:szCs w:val="24"/>
        </w:rPr>
      </w:pPr>
      <w:r>
        <w:rPr>
          <w:bCs/>
          <w:snapToGrid/>
          <w:szCs w:val="24"/>
        </w:rPr>
        <w:t xml:space="preserve">The comparison of the predictions using the analytical model developed in this study and the experimental results from the testing described </w:t>
      </w:r>
      <w:r w:rsidR="00887B21">
        <w:rPr>
          <w:bCs/>
          <w:snapToGrid/>
          <w:szCs w:val="24"/>
        </w:rPr>
        <w:t>previously</w:t>
      </w:r>
      <w:r>
        <w:rPr>
          <w:bCs/>
          <w:snapToGrid/>
          <w:szCs w:val="24"/>
        </w:rPr>
        <w:t xml:space="preserve"> or in the literature are shown in </w:t>
      </w:r>
      <w:r w:rsidRPr="00A80CD4">
        <w:rPr>
          <w:bCs/>
          <w:snapToGrid/>
          <w:szCs w:val="24"/>
        </w:rPr>
        <w:t>Table 3</w:t>
      </w:r>
      <w:r>
        <w:rPr>
          <w:bCs/>
          <w:snapToGrid/>
          <w:szCs w:val="24"/>
        </w:rPr>
        <w:t>.  It shows that the predictions are</w:t>
      </w:r>
      <w:r w:rsidR="00C84686">
        <w:rPr>
          <w:bCs/>
          <w:snapToGrid/>
          <w:szCs w:val="24"/>
        </w:rPr>
        <w:t xml:space="preserve"> (…)</w:t>
      </w:r>
    </w:p>
    <w:p w14:paraId="1E9AC1F2" w14:textId="77777777" w:rsidR="00B13825" w:rsidRDefault="00B13825">
      <w:pPr>
        <w:pStyle w:val="Heading1"/>
        <w:spacing w:line="480" w:lineRule="auto"/>
      </w:pPr>
      <w:r>
        <w:rPr>
          <w:rFonts w:hint="eastAsia"/>
        </w:rPr>
        <w:t>EXPERIMENTAL RESULTS AND DISCUSSION</w:t>
      </w:r>
    </w:p>
    <w:p w14:paraId="320F1B36" w14:textId="77777777" w:rsidR="00B13825" w:rsidRDefault="00B13825">
      <w:pPr>
        <w:spacing w:line="480" w:lineRule="auto"/>
        <w:jc w:val="both"/>
        <w:rPr>
          <w:b/>
        </w:rPr>
      </w:pPr>
      <w:r>
        <w:rPr>
          <w:rFonts w:hint="eastAsia"/>
          <w:b/>
        </w:rPr>
        <w:t xml:space="preserve">Compressive </w:t>
      </w:r>
      <w:r>
        <w:rPr>
          <w:b/>
        </w:rPr>
        <w:t>s</w:t>
      </w:r>
      <w:r>
        <w:rPr>
          <w:rFonts w:hint="eastAsia"/>
          <w:b/>
        </w:rPr>
        <w:t xml:space="preserve">trength and </w:t>
      </w:r>
      <w:r>
        <w:rPr>
          <w:b/>
        </w:rPr>
        <w:t>Y</w:t>
      </w:r>
      <w:r>
        <w:rPr>
          <w:rFonts w:hint="eastAsia"/>
          <w:b/>
        </w:rPr>
        <w:t>oung</w:t>
      </w:r>
      <w:r>
        <w:rPr>
          <w:b/>
        </w:rPr>
        <w:t>’</w:t>
      </w:r>
      <w:r>
        <w:rPr>
          <w:rFonts w:hint="eastAsia"/>
          <w:b/>
        </w:rPr>
        <w:t xml:space="preserve">s </w:t>
      </w:r>
      <w:r>
        <w:rPr>
          <w:b/>
        </w:rPr>
        <w:t>m</w:t>
      </w:r>
      <w:r>
        <w:rPr>
          <w:rFonts w:hint="eastAsia"/>
          <w:b/>
        </w:rPr>
        <w:t xml:space="preserve">odulus of </w:t>
      </w:r>
      <w:r>
        <w:rPr>
          <w:b/>
        </w:rPr>
        <w:t>e</w:t>
      </w:r>
      <w:r>
        <w:rPr>
          <w:rFonts w:hint="eastAsia"/>
          <w:b/>
        </w:rPr>
        <w:t xml:space="preserve">lasticity </w:t>
      </w:r>
    </w:p>
    <w:p w14:paraId="0893A63C" w14:textId="4170233F" w:rsidR="00B13825" w:rsidRDefault="00B13825">
      <w:pPr>
        <w:spacing w:line="480" w:lineRule="auto"/>
        <w:jc w:val="both"/>
      </w:pPr>
      <w:r>
        <w:rPr>
          <w:rFonts w:hint="eastAsia"/>
        </w:rPr>
        <w:t>Compressive strengths and Young</w:t>
      </w:r>
      <w:r>
        <w:t>’</w:t>
      </w:r>
      <w:r>
        <w:rPr>
          <w:rFonts w:hint="eastAsia"/>
        </w:rPr>
        <w:t>s modulus of elasticity of concrete at 28</w:t>
      </w:r>
      <w:r>
        <w:t xml:space="preserve"> </w:t>
      </w:r>
      <w:r>
        <w:rPr>
          <w:rFonts w:hint="eastAsia"/>
        </w:rPr>
        <w:t>day</w:t>
      </w:r>
      <w:r>
        <w:t>s</w:t>
      </w:r>
      <w:r>
        <w:rPr>
          <w:rFonts w:hint="eastAsia"/>
        </w:rPr>
        <w:t xml:space="preserve"> and after 10</w:t>
      </w:r>
      <w:r>
        <w:t xml:space="preserve"> </w:t>
      </w:r>
      <w:r>
        <w:rPr>
          <w:rFonts w:hint="eastAsia"/>
        </w:rPr>
        <w:t>year</w:t>
      </w:r>
      <w:r>
        <w:t>s</w:t>
      </w:r>
      <w:r>
        <w:rPr>
          <w:rFonts w:hint="eastAsia"/>
        </w:rPr>
        <w:t xml:space="preserve"> of </w:t>
      </w:r>
      <w:r>
        <w:t>exposure</w:t>
      </w:r>
      <w:r>
        <w:rPr>
          <w:rFonts w:hint="eastAsia"/>
        </w:rPr>
        <w:t xml:space="preserve"> in the tidal environment are shown in </w:t>
      </w:r>
      <w:r w:rsidRPr="00A80CD4">
        <w:rPr>
          <w:rFonts w:hint="eastAsia"/>
        </w:rPr>
        <w:t xml:space="preserve">Fig. </w:t>
      </w:r>
      <w:r w:rsidRPr="00A80CD4">
        <w:t>2</w:t>
      </w:r>
      <w:r w:rsidRPr="00A80CD4">
        <w:rPr>
          <w:rFonts w:hint="eastAsia"/>
        </w:rPr>
        <w:t xml:space="preserve"> and </w:t>
      </w:r>
      <w:r w:rsidRPr="00A80CD4">
        <w:t>3</w:t>
      </w:r>
      <w:r>
        <w:rPr>
          <w:rFonts w:hint="eastAsia"/>
        </w:rPr>
        <w:t>, respectively</w:t>
      </w:r>
      <w:r w:rsidR="006E5BE0">
        <w:t>. (…)</w:t>
      </w:r>
    </w:p>
    <w:p w14:paraId="42F34401" w14:textId="77777777" w:rsidR="00B13825" w:rsidRDefault="00B13825">
      <w:pPr>
        <w:pStyle w:val="Heading8"/>
        <w:spacing w:line="480" w:lineRule="auto"/>
        <w:rPr>
          <w:bCs w:val="0"/>
        </w:rPr>
      </w:pPr>
      <w:r>
        <w:rPr>
          <w:rFonts w:hint="eastAsia"/>
          <w:bCs w:val="0"/>
        </w:rPr>
        <w:t xml:space="preserve">Carbonation </w:t>
      </w:r>
      <w:r>
        <w:rPr>
          <w:bCs w:val="0"/>
        </w:rPr>
        <w:t>d</w:t>
      </w:r>
      <w:r>
        <w:rPr>
          <w:rFonts w:hint="eastAsia"/>
          <w:bCs w:val="0"/>
        </w:rPr>
        <w:t xml:space="preserve">epth and </w:t>
      </w:r>
      <w:r>
        <w:rPr>
          <w:bCs w:val="0"/>
        </w:rPr>
        <w:t>c</w:t>
      </w:r>
      <w:r>
        <w:rPr>
          <w:rFonts w:hint="eastAsia"/>
          <w:bCs w:val="0"/>
        </w:rPr>
        <w:t xml:space="preserve">hloride </w:t>
      </w:r>
      <w:r>
        <w:rPr>
          <w:bCs w:val="0"/>
        </w:rPr>
        <w:t>i</w:t>
      </w:r>
      <w:r>
        <w:rPr>
          <w:rFonts w:hint="eastAsia"/>
          <w:bCs w:val="0"/>
        </w:rPr>
        <w:t xml:space="preserve">on </w:t>
      </w:r>
      <w:r>
        <w:rPr>
          <w:bCs w:val="0"/>
        </w:rPr>
        <w:t>p</w:t>
      </w:r>
      <w:r>
        <w:rPr>
          <w:rFonts w:hint="eastAsia"/>
          <w:bCs w:val="0"/>
        </w:rPr>
        <w:t>rofile</w:t>
      </w:r>
    </w:p>
    <w:p w14:paraId="449D0E12" w14:textId="13C63B34" w:rsidR="00B13825" w:rsidRPr="00887B21" w:rsidRDefault="00B13825" w:rsidP="00887B21">
      <w:pPr>
        <w:spacing w:line="480" w:lineRule="auto"/>
        <w:jc w:val="both"/>
      </w:pPr>
      <w:r>
        <w:rPr>
          <w:rFonts w:hint="eastAsia"/>
        </w:rPr>
        <w:t>The carbonation depth of the specimens was negligible irrespective of the cases investigated here</w:t>
      </w:r>
      <w:r>
        <w:t>in</w:t>
      </w:r>
      <w:r>
        <w:rPr>
          <w:rFonts w:hint="eastAsia"/>
        </w:rPr>
        <w:t>. Water</w:t>
      </w:r>
      <w:r>
        <w:t>-</w:t>
      </w:r>
      <w:r>
        <w:rPr>
          <w:rFonts w:hint="eastAsia"/>
        </w:rPr>
        <w:t xml:space="preserve"> and acid</w:t>
      </w:r>
      <w:r>
        <w:t>-soluble</w:t>
      </w:r>
      <w:r>
        <w:rPr>
          <w:rFonts w:hint="eastAsia"/>
        </w:rPr>
        <w:t xml:space="preserve"> chloride concentrations at the average sampling depths of </w:t>
      </w:r>
      <w:r w:rsidR="00501279">
        <w:t xml:space="preserve">0.10, </w:t>
      </w:r>
      <w:r w:rsidR="00501279">
        <w:lastRenderedPageBreak/>
        <w:t>0.39, 0.79, 1.28</w:t>
      </w:r>
      <w:r w:rsidR="00887B21">
        <w:t>,</w:t>
      </w:r>
      <w:r w:rsidR="00501279">
        <w:t xml:space="preserve"> and 1.79 in. (</w:t>
      </w:r>
      <w:r>
        <w:rPr>
          <w:rFonts w:hint="eastAsia"/>
        </w:rPr>
        <w:t>2.5, 10, 20, 32.5</w:t>
      </w:r>
      <w:r w:rsidR="00887B21">
        <w:t>,</w:t>
      </w:r>
      <w:r>
        <w:rPr>
          <w:rFonts w:hint="eastAsia"/>
        </w:rPr>
        <w:t xml:space="preserve"> and 45.5 mm</w:t>
      </w:r>
      <w:r w:rsidR="00501279">
        <w:t>)</w:t>
      </w:r>
      <w:r>
        <w:rPr>
          <w:rFonts w:hint="eastAsia"/>
        </w:rPr>
        <w:t xml:space="preserve"> from the surface of the specimens are shown in </w:t>
      </w:r>
      <w:r w:rsidRPr="00A80CD4">
        <w:rPr>
          <w:rFonts w:hint="eastAsia"/>
        </w:rPr>
        <w:t xml:space="preserve">Fig. </w:t>
      </w:r>
      <w:r w:rsidRPr="00A80CD4">
        <w:t>4</w:t>
      </w:r>
      <w:r w:rsidRPr="00A80CD4">
        <w:rPr>
          <w:rFonts w:hint="eastAsia"/>
        </w:rPr>
        <w:t xml:space="preserve"> and </w:t>
      </w:r>
      <w:r w:rsidRPr="00A80CD4">
        <w:t>5</w:t>
      </w:r>
      <w:r>
        <w:rPr>
          <w:rFonts w:hint="eastAsia"/>
        </w:rPr>
        <w:t xml:space="preserve"> for Case</w:t>
      </w:r>
      <w:r>
        <w:t>s</w:t>
      </w:r>
      <w:r>
        <w:rPr>
          <w:rFonts w:hint="eastAsia"/>
        </w:rPr>
        <w:t xml:space="preserve"> 1</w:t>
      </w:r>
      <w:r>
        <w:t xml:space="preserve"> to </w:t>
      </w:r>
      <w:r>
        <w:rPr>
          <w:rFonts w:hint="eastAsia"/>
        </w:rPr>
        <w:t>16</w:t>
      </w:r>
      <w:r w:rsidR="006E5BE0">
        <w:t>. (…)</w:t>
      </w:r>
      <w:r>
        <w:rPr>
          <w:rFonts w:hint="eastAsia"/>
        </w:rPr>
        <w:t xml:space="preserve"> </w:t>
      </w:r>
    </w:p>
    <w:p w14:paraId="58319411" w14:textId="77EBE79E" w:rsidR="00B13825" w:rsidRDefault="00B13825">
      <w:pPr>
        <w:pStyle w:val="BodyText2"/>
        <w:widowControl/>
        <w:spacing w:line="480" w:lineRule="auto"/>
        <w:rPr>
          <w:b/>
          <w:snapToGrid/>
          <w:szCs w:val="24"/>
        </w:rPr>
      </w:pPr>
      <w:r>
        <w:rPr>
          <w:b/>
          <w:snapToGrid/>
          <w:szCs w:val="24"/>
        </w:rPr>
        <w:t>Load-deflection relationship</w:t>
      </w:r>
    </w:p>
    <w:p w14:paraId="7E84A6EA" w14:textId="15ACCA42" w:rsidR="00B13825" w:rsidRDefault="00B13825" w:rsidP="00B839DB">
      <w:pPr>
        <w:spacing w:line="480" w:lineRule="auto"/>
        <w:jc w:val="both"/>
      </w:pPr>
      <w:r>
        <w:rPr>
          <w:rFonts w:hint="eastAsia"/>
        </w:rPr>
        <w:t xml:space="preserve">The </w:t>
      </w:r>
      <w:r>
        <w:t>load-deflection relationship of slabs</w:t>
      </w:r>
      <w:r>
        <w:rPr>
          <w:rFonts w:hint="eastAsia"/>
        </w:rPr>
        <w:t xml:space="preserve"> is shown in </w:t>
      </w:r>
      <w:r w:rsidRPr="00A80CD4">
        <w:rPr>
          <w:rFonts w:hint="eastAsia"/>
        </w:rPr>
        <w:t xml:space="preserve">Fig. </w:t>
      </w:r>
      <w:r w:rsidRPr="00A80CD4">
        <w:t>6</w:t>
      </w:r>
      <w:r w:rsidR="006E5BE0">
        <w:t>. (…)</w:t>
      </w:r>
    </w:p>
    <w:p w14:paraId="420458C5" w14:textId="42D4E52F" w:rsidR="00B13825" w:rsidRDefault="00B13825">
      <w:pPr>
        <w:pStyle w:val="Heading1"/>
        <w:spacing w:line="480" w:lineRule="auto"/>
        <w:rPr>
          <w:b w:val="0"/>
          <w:bCs w:val="0"/>
        </w:rPr>
      </w:pPr>
      <w:r>
        <w:rPr>
          <w:rFonts w:hint="eastAsia"/>
        </w:rPr>
        <w:t xml:space="preserve">FURTHER </w:t>
      </w:r>
      <w:r>
        <w:t>RESEARC</w:t>
      </w:r>
      <w:r w:rsidR="006E5BE0">
        <w:t xml:space="preserve">H </w:t>
      </w:r>
      <w:r w:rsidR="006E5BE0" w:rsidRPr="000F739D">
        <w:rPr>
          <w:color w:val="4472C4" w:themeColor="accent1"/>
        </w:rPr>
        <w:t>(IF APPLICABLE)</w:t>
      </w:r>
    </w:p>
    <w:p w14:paraId="72EE25A0" w14:textId="72D549AD" w:rsidR="00B13825" w:rsidRDefault="00B13825" w:rsidP="00B839DB">
      <w:pPr>
        <w:spacing w:line="480" w:lineRule="auto"/>
        <w:jc w:val="both"/>
      </w:pPr>
      <w:r>
        <w:t xml:space="preserve">It is desirable to test </w:t>
      </w:r>
      <w:r>
        <w:rPr>
          <w:rFonts w:hint="eastAsia"/>
        </w:rPr>
        <w:t xml:space="preserve">specimens at the age of 20 </w:t>
      </w:r>
      <w:r>
        <w:t xml:space="preserve">or more </w:t>
      </w:r>
      <w:r>
        <w:rPr>
          <w:rFonts w:hint="eastAsia"/>
        </w:rPr>
        <w:t>years of exposure</w:t>
      </w:r>
      <w:r>
        <w:t>,</w:t>
      </w:r>
      <w:r>
        <w:rPr>
          <w:rFonts w:hint="eastAsia"/>
        </w:rPr>
        <w:t xml:space="preserve"> </w:t>
      </w:r>
      <w:r>
        <w:t>and efforts should be made</w:t>
      </w:r>
      <w:r>
        <w:rPr>
          <w:rFonts w:hint="eastAsia"/>
        </w:rPr>
        <w:t xml:space="preserve"> to find out the possible ways to increase the chloride threshold value related to corrosion of steel bars in concrete. The results </w:t>
      </w:r>
      <w:r>
        <w:t>of such studies would directly benefit the construction industry</w:t>
      </w:r>
      <w:r w:rsidR="006E5BE0">
        <w:t>. (…)</w:t>
      </w:r>
    </w:p>
    <w:p w14:paraId="35267345" w14:textId="50CEA234" w:rsidR="00B13825" w:rsidRDefault="00B13825">
      <w:pPr>
        <w:pStyle w:val="Heading1"/>
        <w:spacing w:line="480" w:lineRule="auto"/>
      </w:pPr>
      <w:r>
        <w:rPr>
          <w:rFonts w:hint="eastAsia"/>
        </w:rPr>
        <w:t>CONCLUSIONS</w:t>
      </w:r>
      <w:r w:rsidR="006E5BE0">
        <w:t xml:space="preserve"> </w:t>
      </w:r>
      <w:r w:rsidR="006E5BE0" w:rsidRPr="00856490">
        <w:rPr>
          <w:color w:val="4472C4" w:themeColor="accent1"/>
        </w:rPr>
        <w:t>(OR SUMMARY AND CONCLUSIONS)</w:t>
      </w:r>
    </w:p>
    <w:p w14:paraId="0805D83A" w14:textId="19EB7F1C" w:rsidR="00E855C2" w:rsidRPr="00E855C2" w:rsidRDefault="00E855C2" w:rsidP="00E855C2">
      <w:pPr>
        <w:spacing w:line="480" w:lineRule="auto"/>
        <w:jc w:val="center"/>
        <w:rPr>
          <w:u w:val="single"/>
        </w:rPr>
      </w:pPr>
      <w:r w:rsidRPr="00E855C2">
        <w:rPr>
          <w:color w:val="4472C4" w:themeColor="accent1"/>
          <w:u w:val="single"/>
        </w:rPr>
        <w:t>(Spell out any acronyms introduced at the beginning of the paper)</w:t>
      </w:r>
    </w:p>
    <w:p w14:paraId="1F20F98E" w14:textId="77777777" w:rsidR="00B13825" w:rsidRDefault="00B13825">
      <w:pPr>
        <w:spacing w:line="480" w:lineRule="auto"/>
        <w:jc w:val="both"/>
      </w:pPr>
      <w:r>
        <w:rPr>
          <w:rFonts w:hint="eastAsia"/>
        </w:rPr>
        <w:t xml:space="preserve">Based on the results of this experimental investigation under tidal environment, the following </w:t>
      </w:r>
      <w:r>
        <w:t>conclusions</w:t>
      </w:r>
      <w:r>
        <w:rPr>
          <w:rFonts w:hint="eastAsia"/>
        </w:rPr>
        <w:t xml:space="preserve"> are drawn:</w:t>
      </w:r>
    </w:p>
    <w:p w14:paraId="4F128E1B" w14:textId="5929F9CB" w:rsidR="00B13825" w:rsidRDefault="00856490">
      <w:pPr>
        <w:numPr>
          <w:ilvl w:val="0"/>
          <w:numId w:val="13"/>
        </w:numPr>
        <w:spacing w:line="480" w:lineRule="auto"/>
        <w:jc w:val="both"/>
      </w:pPr>
      <w:r>
        <w:t>The n</w:t>
      </w:r>
      <w:r w:rsidR="00B13825">
        <w:t xml:space="preserve">aphthalene group of </w:t>
      </w:r>
      <w:r w:rsidR="00845541">
        <w:t xml:space="preserve">the </w:t>
      </w:r>
      <w:r w:rsidR="00B13825">
        <w:t xml:space="preserve">high-range water-reducing </w:t>
      </w:r>
      <w:r w:rsidR="306B8BEC">
        <w:t xml:space="preserve">(HRWR) </w:t>
      </w:r>
      <w:r w:rsidR="00B13825">
        <w:t>and air-entraining chemical admixture shows the best performance against the strength development and chloride ion ingress prevention in concrete; and</w:t>
      </w:r>
    </w:p>
    <w:p w14:paraId="30463798" w14:textId="09736B72" w:rsidR="00B13825" w:rsidRDefault="00845541" w:rsidP="00B839DB">
      <w:pPr>
        <w:numPr>
          <w:ilvl w:val="0"/>
          <w:numId w:val="13"/>
        </w:numPr>
        <w:spacing w:line="480" w:lineRule="auto"/>
        <w:jc w:val="both"/>
      </w:pPr>
      <w:r>
        <w:t xml:space="preserve">The </w:t>
      </w:r>
      <w:proofErr w:type="spellStart"/>
      <w:r>
        <w:t>p</w:t>
      </w:r>
      <w:r w:rsidR="00B13825">
        <w:rPr>
          <w:rFonts w:hint="eastAsia"/>
        </w:rPr>
        <w:t>olycarboxyl</w:t>
      </w:r>
      <w:proofErr w:type="spellEnd"/>
      <w:r w:rsidR="00B13825">
        <w:rPr>
          <w:rFonts w:hint="eastAsia"/>
        </w:rPr>
        <w:t xml:space="preserve"> group of </w:t>
      </w:r>
      <w:r>
        <w:t xml:space="preserve">the </w:t>
      </w:r>
      <w:r w:rsidR="00B13825">
        <w:rPr>
          <w:rFonts w:hint="eastAsia"/>
        </w:rPr>
        <w:t xml:space="preserve">chemical admixture shows the least </w:t>
      </w:r>
      <w:r w:rsidR="00B13825">
        <w:t>performance</w:t>
      </w:r>
      <w:r w:rsidR="00B13825">
        <w:rPr>
          <w:rFonts w:hint="eastAsia"/>
        </w:rPr>
        <w:t xml:space="preserve"> among the chemical admixtures investigated here</w:t>
      </w:r>
      <w:r>
        <w:t>in</w:t>
      </w:r>
      <w:r w:rsidR="00B13825">
        <w:rPr>
          <w:rFonts w:hint="eastAsia"/>
        </w:rPr>
        <w:t xml:space="preserve"> against long-term strength development</w:t>
      </w:r>
      <w:r>
        <w:t>,</w:t>
      </w:r>
      <w:r w:rsidR="00B13825">
        <w:rPr>
          <w:rFonts w:hint="eastAsia"/>
        </w:rPr>
        <w:t xml:space="preserve"> as well as chloride ingress prevention in concrete</w:t>
      </w:r>
      <w:r w:rsidR="00E855C2">
        <w:t>. (…)</w:t>
      </w:r>
    </w:p>
    <w:p w14:paraId="10CF8D3A" w14:textId="67127186" w:rsidR="00B13825" w:rsidRDefault="00B13825">
      <w:pPr>
        <w:pStyle w:val="Heading3"/>
        <w:spacing w:line="480" w:lineRule="auto"/>
        <w:ind w:firstLine="0"/>
        <w:rPr>
          <w:b w:val="0"/>
          <w:bCs/>
        </w:rPr>
      </w:pPr>
      <w:r>
        <w:t>ACKNOWLEDGMENTS</w:t>
      </w:r>
    </w:p>
    <w:p w14:paraId="65CDACC6" w14:textId="5F77C001" w:rsidR="00626165" w:rsidRPr="00626165" w:rsidRDefault="00626165" w:rsidP="00626165">
      <w:pPr>
        <w:spacing w:line="480" w:lineRule="auto"/>
        <w:jc w:val="center"/>
        <w:rPr>
          <w:u w:val="single"/>
        </w:rPr>
      </w:pPr>
      <w:r w:rsidRPr="00626165">
        <w:rPr>
          <w:color w:val="4472C4" w:themeColor="accent1"/>
          <w:u w:val="single"/>
        </w:rPr>
        <w:t>(Use first initial and last name only when listing names of individuals)</w:t>
      </w:r>
    </w:p>
    <w:p w14:paraId="3EC8414D" w14:textId="1A5C7DEF" w:rsidR="00B13825" w:rsidRPr="00B839DB" w:rsidRDefault="00B13825" w:rsidP="00B839DB">
      <w:pPr>
        <w:pStyle w:val="Heading1"/>
        <w:spacing w:line="480" w:lineRule="auto"/>
        <w:jc w:val="both"/>
        <w:rPr>
          <w:b w:val="0"/>
          <w:bCs w:val="0"/>
        </w:rPr>
      </w:pPr>
      <w:r>
        <w:rPr>
          <w:b w:val="0"/>
          <w:bCs w:val="0"/>
        </w:rPr>
        <w:t>The authors wish to express their gratitude and sincere appreciation to the authority of Port and Airport Research Institute</w:t>
      </w:r>
      <w:r w:rsidR="00E855C2">
        <w:rPr>
          <w:b w:val="0"/>
          <w:bCs w:val="0"/>
        </w:rPr>
        <w:t xml:space="preserve"> </w:t>
      </w:r>
      <w:r>
        <w:rPr>
          <w:b w:val="0"/>
          <w:bCs w:val="0"/>
        </w:rPr>
        <w:t xml:space="preserve">for financing this research work and also </w:t>
      </w:r>
      <w:r w:rsidR="00845541">
        <w:rPr>
          <w:b w:val="0"/>
          <w:bCs w:val="0"/>
        </w:rPr>
        <w:t xml:space="preserve">to </w:t>
      </w:r>
      <w:r>
        <w:rPr>
          <w:b w:val="0"/>
          <w:bCs w:val="0"/>
        </w:rPr>
        <w:t>several ongoing research projects related to the durability of concrete structures</w:t>
      </w:r>
      <w:r w:rsidR="22D31091">
        <w:rPr>
          <w:b w:val="0"/>
          <w:bCs w:val="0"/>
        </w:rPr>
        <w:t>.</w:t>
      </w:r>
      <w:r w:rsidR="4D6429E0">
        <w:rPr>
          <w:b w:val="0"/>
          <w:bCs w:val="0"/>
        </w:rPr>
        <w:t xml:space="preserve"> The authors would like to also </w:t>
      </w:r>
      <w:r w:rsidR="4D6429E0">
        <w:rPr>
          <w:b w:val="0"/>
          <w:bCs w:val="0"/>
        </w:rPr>
        <w:lastRenderedPageBreak/>
        <w:t xml:space="preserve">acknowledge the assistance of </w:t>
      </w:r>
      <w:r w:rsidR="41A12E68">
        <w:rPr>
          <w:b w:val="0"/>
          <w:bCs w:val="0"/>
        </w:rPr>
        <w:t>R</w:t>
      </w:r>
      <w:r w:rsidR="4D6429E0">
        <w:rPr>
          <w:b w:val="0"/>
          <w:bCs w:val="0"/>
        </w:rPr>
        <w:t xml:space="preserve">. </w:t>
      </w:r>
      <w:r w:rsidR="75D40B1E">
        <w:rPr>
          <w:b w:val="0"/>
          <w:bCs w:val="0"/>
        </w:rPr>
        <w:t xml:space="preserve">Kimble, K. Reed, and </w:t>
      </w:r>
      <w:r w:rsidR="511AF4A2">
        <w:rPr>
          <w:b w:val="0"/>
          <w:bCs w:val="0"/>
        </w:rPr>
        <w:t>L. Braggs</w:t>
      </w:r>
      <w:r w:rsidR="7A46109D">
        <w:rPr>
          <w:b w:val="0"/>
          <w:bCs w:val="0"/>
        </w:rPr>
        <w:t xml:space="preserve"> </w:t>
      </w:r>
      <w:r w:rsidR="511AF4A2">
        <w:rPr>
          <w:b w:val="0"/>
          <w:bCs w:val="0"/>
        </w:rPr>
        <w:t xml:space="preserve">of </w:t>
      </w:r>
      <w:r w:rsidR="00845541">
        <w:rPr>
          <w:b w:val="0"/>
          <w:bCs w:val="0"/>
        </w:rPr>
        <w:t>t</w:t>
      </w:r>
      <w:r w:rsidR="511AF4A2">
        <w:rPr>
          <w:b w:val="0"/>
          <w:bCs w:val="0"/>
        </w:rPr>
        <w:t>he University of Michigan for their assistance in carrying out</w:t>
      </w:r>
      <w:r w:rsidR="3EFB9427">
        <w:rPr>
          <w:b w:val="0"/>
          <w:bCs w:val="0"/>
        </w:rPr>
        <w:t xml:space="preserve"> the experiments.</w:t>
      </w:r>
    </w:p>
    <w:p w14:paraId="2082F672" w14:textId="77777777" w:rsidR="0076484F" w:rsidRDefault="00B13825" w:rsidP="00DF5110">
      <w:pPr>
        <w:spacing w:line="480" w:lineRule="auto"/>
        <w:jc w:val="center"/>
        <w:rPr>
          <w:b/>
          <w:bCs/>
        </w:rPr>
      </w:pPr>
      <w:r w:rsidRPr="59FF280B">
        <w:rPr>
          <w:b/>
          <w:bCs/>
        </w:rPr>
        <w:t>NOTATION</w:t>
      </w:r>
    </w:p>
    <w:p w14:paraId="0EF5CD79" w14:textId="6B57E465" w:rsidR="0076484F" w:rsidRPr="00931723" w:rsidRDefault="00B13825" w:rsidP="00D17097">
      <w:pPr>
        <w:spacing w:line="480" w:lineRule="auto"/>
        <w:jc w:val="both"/>
        <w:rPr>
          <w:color w:val="4472C4" w:themeColor="accent1"/>
          <w:u w:val="single"/>
        </w:rPr>
      </w:pPr>
      <w:r w:rsidRPr="59FF280B">
        <w:rPr>
          <w:b/>
          <w:bCs/>
        </w:rPr>
        <w:t xml:space="preserve"> </w:t>
      </w:r>
      <w:r w:rsidRPr="0076484F">
        <w:rPr>
          <w:color w:val="4472C4" w:themeColor="accent1"/>
          <w:u w:val="single"/>
        </w:rPr>
        <w:t>(</w:t>
      </w:r>
      <w:r w:rsidR="0076484F">
        <w:rPr>
          <w:color w:val="4472C4" w:themeColor="accent1"/>
          <w:u w:val="single"/>
        </w:rPr>
        <w:t>Include list of Notation here,</w:t>
      </w:r>
      <w:r w:rsidRPr="0076484F">
        <w:rPr>
          <w:color w:val="4472C4" w:themeColor="accent1"/>
          <w:u w:val="single"/>
        </w:rPr>
        <w:t xml:space="preserve"> especially if the list of symbols is long</w:t>
      </w:r>
      <w:r w:rsidR="0076484F">
        <w:rPr>
          <w:color w:val="4472C4" w:themeColor="accent1"/>
          <w:u w:val="single"/>
        </w:rPr>
        <w:t xml:space="preserve">. List in alphabetical </w:t>
      </w:r>
      <w:r w:rsidR="00905516">
        <w:rPr>
          <w:color w:val="4472C4" w:themeColor="accent1"/>
          <w:u w:val="single"/>
        </w:rPr>
        <w:t>Aa-</w:t>
      </w:r>
      <w:proofErr w:type="spellStart"/>
      <w:r w:rsidR="00905516">
        <w:rPr>
          <w:color w:val="4472C4" w:themeColor="accent1"/>
          <w:u w:val="single"/>
        </w:rPr>
        <w:t>Zz</w:t>
      </w:r>
      <w:proofErr w:type="spellEnd"/>
      <w:r w:rsidR="00905516">
        <w:rPr>
          <w:color w:val="4472C4" w:themeColor="accent1"/>
          <w:u w:val="single"/>
        </w:rPr>
        <w:t xml:space="preserve"> </w:t>
      </w:r>
      <w:r w:rsidR="0076484F">
        <w:rPr>
          <w:color w:val="4472C4" w:themeColor="accent1"/>
          <w:u w:val="single"/>
        </w:rPr>
        <w:t xml:space="preserve">order </w:t>
      </w:r>
      <w:r w:rsidR="00931723">
        <w:rPr>
          <w:color w:val="4472C4" w:themeColor="accent1"/>
          <w:u w:val="single"/>
        </w:rPr>
        <w:t>(</w:t>
      </w:r>
      <w:r w:rsidR="00551CFC" w:rsidRPr="00551CFC">
        <w:rPr>
          <w:color w:val="4472C4" w:themeColor="accent1"/>
          <w:u w:val="single"/>
        </w:rPr>
        <w:t xml:space="preserve">for example, </w:t>
      </w:r>
      <w:r w:rsidR="00551CFC" w:rsidRPr="00551CFC">
        <w:rPr>
          <w:i/>
          <w:iCs/>
          <w:color w:val="4472C4" w:themeColor="accent1"/>
          <w:u w:val="single"/>
        </w:rPr>
        <w:t>A</w:t>
      </w:r>
      <w:r w:rsidR="00551CFC" w:rsidRPr="00551CFC">
        <w:rPr>
          <w:i/>
          <w:iCs/>
          <w:color w:val="4472C4" w:themeColor="accent1"/>
          <w:u w:val="single"/>
          <w:vertAlign w:val="subscript"/>
        </w:rPr>
        <w:t>s</w:t>
      </w:r>
      <w:r w:rsidR="00551CFC" w:rsidRPr="00551CFC">
        <w:rPr>
          <w:color w:val="4472C4" w:themeColor="accent1"/>
          <w:u w:val="single"/>
        </w:rPr>
        <w:t xml:space="preserve">, </w:t>
      </w:r>
      <w:r w:rsidR="00551CFC" w:rsidRPr="00551CFC">
        <w:rPr>
          <w:i/>
          <w:iCs/>
          <w:color w:val="4472C4" w:themeColor="accent1"/>
          <w:u w:val="single"/>
        </w:rPr>
        <w:t>a</w:t>
      </w:r>
      <w:r w:rsidR="00551CFC" w:rsidRPr="00551CFC">
        <w:rPr>
          <w:color w:val="4472C4" w:themeColor="accent1"/>
          <w:u w:val="single"/>
        </w:rPr>
        <w:t xml:space="preserve">, </w:t>
      </w:r>
      <w:r w:rsidR="00551CFC" w:rsidRPr="00551CFC">
        <w:rPr>
          <w:i/>
          <w:iCs/>
          <w:color w:val="4472C4" w:themeColor="accent1"/>
          <w:u w:val="single"/>
        </w:rPr>
        <w:t>B</w:t>
      </w:r>
      <w:r w:rsidR="00551CFC" w:rsidRPr="00551CFC">
        <w:rPr>
          <w:i/>
          <w:iCs/>
          <w:color w:val="4472C4" w:themeColor="accent1"/>
          <w:u w:val="single"/>
          <w:vertAlign w:val="subscript"/>
        </w:rPr>
        <w:t>d</w:t>
      </w:r>
      <w:r w:rsidR="00551CFC" w:rsidRPr="00551CFC">
        <w:rPr>
          <w:color w:val="4472C4" w:themeColor="accent1"/>
          <w:u w:val="single"/>
        </w:rPr>
        <w:t xml:space="preserve">, </w:t>
      </w:r>
      <w:r w:rsidR="00551CFC" w:rsidRPr="00551CFC">
        <w:rPr>
          <w:i/>
          <w:iCs/>
          <w:color w:val="4472C4" w:themeColor="accent1"/>
          <w:u w:val="single"/>
        </w:rPr>
        <w:t>b</w:t>
      </w:r>
      <w:r w:rsidR="00551CFC" w:rsidRPr="00551CFC">
        <w:rPr>
          <w:i/>
          <w:iCs/>
          <w:color w:val="4472C4" w:themeColor="accent1"/>
          <w:u w:val="single"/>
          <w:vertAlign w:val="subscript"/>
        </w:rPr>
        <w:t>o</w:t>
      </w:r>
      <w:r w:rsidR="00551CFC" w:rsidRPr="00551CFC">
        <w:rPr>
          <w:i/>
          <w:iCs/>
          <w:color w:val="4472C4" w:themeColor="accent1"/>
          <w:u w:val="single"/>
        </w:rPr>
        <w:t>d</w:t>
      </w:r>
      <w:r w:rsidR="00551CFC" w:rsidRPr="00551CFC">
        <w:rPr>
          <w:color w:val="4472C4" w:themeColor="accent1"/>
          <w:u w:val="single"/>
        </w:rPr>
        <w:t xml:space="preserve">, </w:t>
      </w:r>
      <w:proofErr w:type="spellStart"/>
      <w:r w:rsidR="00551CFC" w:rsidRPr="00551CFC">
        <w:rPr>
          <w:i/>
          <w:iCs/>
          <w:color w:val="4472C4" w:themeColor="accent1"/>
          <w:u w:val="single"/>
        </w:rPr>
        <w:t>b</w:t>
      </w:r>
      <w:r w:rsidR="00551CFC" w:rsidRPr="00551CFC">
        <w:rPr>
          <w:i/>
          <w:iCs/>
          <w:color w:val="4472C4" w:themeColor="accent1"/>
          <w:u w:val="single"/>
          <w:vertAlign w:val="subscript"/>
        </w:rPr>
        <w:t>z</w:t>
      </w:r>
      <w:proofErr w:type="spellEnd"/>
      <w:r w:rsidR="00931723">
        <w:rPr>
          <w:color w:val="4472C4" w:themeColor="accent1"/>
          <w:u w:val="single"/>
        </w:rPr>
        <w:t>); variables with numbers as subscripts/superscripts can fall at the beginning of that letter’s list or the end</w:t>
      </w:r>
      <w:r w:rsidR="00873622">
        <w:rPr>
          <w:color w:val="4472C4" w:themeColor="accent1"/>
          <w:u w:val="single"/>
        </w:rPr>
        <w:t xml:space="preserve"> (just be consistent)</w:t>
      </w:r>
      <w:r w:rsidR="00D17097">
        <w:rPr>
          <w:color w:val="4472C4" w:themeColor="accent1"/>
          <w:u w:val="single"/>
        </w:rPr>
        <w:t>. Greek letters come after Roman/Latin alphabet and follow Aa-</w:t>
      </w:r>
      <w:proofErr w:type="spellStart"/>
      <w:r w:rsidR="00D17097">
        <w:rPr>
          <w:color w:val="4472C4" w:themeColor="accent1"/>
          <w:u w:val="single"/>
        </w:rPr>
        <w:t>Zz</w:t>
      </w:r>
      <w:proofErr w:type="spellEnd"/>
      <w:r w:rsidR="00D17097">
        <w:rPr>
          <w:color w:val="4472C4" w:themeColor="accent1"/>
          <w:u w:val="single"/>
        </w:rPr>
        <w:t xml:space="preserve"> order</w:t>
      </w:r>
      <w:r w:rsidR="00873622">
        <w:rPr>
          <w:color w:val="4472C4" w:themeColor="accent1"/>
          <w:u w:val="single"/>
        </w:rPr>
        <w:t>.</w:t>
      </w:r>
      <w:r w:rsidR="002A5E58">
        <w:rPr>
          <w:color w:val="4472C4" w:themeColor="accent1"/>
          <w:u w:val="single"/>
        </w:rPr>
        <w:t xml:space="preserve"> </w:t>
      </w:r>
      <w:r w:rsidR="002A5E58" w:rsidRPr="002A5E58">
        <w:rPr>
          <w:b/>
          <w:bCs/>
          <w:color w:val="4472C4" w:themeColor="accent1"/>
          <w:u w:val="single"/>
        </w:rPr>
        <w:t>Do not place notations or symbols in text boxes unless they cannot otherwise be typed in plain text.</w:t>
      </w:r>
    </w:p>
    <w:p w14:paraId="32962CE2" w14:textId="47D2F86F" w:rsidR="00B13825" w:rsidRDefault="0076484F" w:rsidP="0076484F">
      <w:pPr>
        <w:spacing w:line="480" w:lineRule="auto"/>
        <w:rPr>
          <w:noProof/>
        </w:rPr>
      </w:pPr>
      <w:r w:rsidRPr="0076484F">
        <w:rPr>
          <w:i/>
          <w:iCs/>
          <w:noProof/>
        </w:rPr>
        <w:t>a</w:t>
      </w:r>
      <w:r>
        <w:rPr>
          <w:noProof/>
        </w:rPr>
        <w:t xml:space="preserve"> =</w:t>
      </w:r>
      <w:r w:rsidR="0013703F">
        <w:rPr>
          <w:noProof/>
        </w:rPr>
        <w:t xml:space="preserve"> </w:t>
      </w:r>
      <w:r w:rsidR="00B13825">
        <w:rPr>
          <w:noProof/>
        </w:rPr>
        <w:t>radius of slab</w:t>
      </w:r>
    </w:p>
    <w:p w14:paraId="4644B36B" w14:textId="785C6C60" w:rsidR="00B13825" w:rsidRDefault="53C03D67">
      <w:pPr>
        <w:spacing w:line="480" w:lineRule="auto"/>
        <w:rPr>
          <w:noProof/>
        </w:rPr>
      </w:pPr>
      <w:r w:rsidRPr="0076484F">
        <w:rPr>
          <w:i/>
          <w:iCs/>
          <w:noProof/>
        </w:rPr>
        <w:t>c</w:t>
      </w:r>
      <w:r>
        <w:rPr>
          <w:noProof/>
        </w:rPr>
        <w:t xml:space="preserve"> </w:t>
      </w:r>
      <w:r w:rsidR="00B13825">
        <w:rPr>
          <w:noProof/>
        </w:rPr>
        <w:t>=</w:t>
      </w:r>
      <w:r w:rsidR="0013703F">
        <w:rPr>
          <w:noProof/>
        </w:rPr>
        <w:t xml:space="preserve"> </w:t>
      </w:r>
      <w:r w:rsidR="00B13825">
        <w:rPr>
          <w:noProof/>
        </w:rPr>
        <w:t>diameter/side length of loaded area</w:t>
      </w:r>
    </w:p>
    <w:p w14:paraId="2C80DCDD" w14:textId="42BD2B1E" w:rsidR="00B13825" w:rsidRDefault="52E177AE" w:rsidP="00B839DB">
      <w:pPr>
        <w:spacing w:line="480" w:lineRule="auto"/>
      </w:pPr>
      <w:r w:rsidRPr="00E74F07">
        <w:rPr>
          <w:i/>
          <w:iCs/>
          <w:noProof/>
        </w:rPr>
        <w:t>c</w:t>
      </w:r>
      <w:r w:rsidRPr="00E74F07">
        <w:rPr>
          <w:i/>
          <w:iCs/>
          <w:noProof/>
          <w:vertAlign w:val="subscript"/>
        </w:rPr>
        <w:t>k</w:t>
      </w:r>
      <w:r>
        <w:rPr>
          <w:noProof/>
        </w:rPr>
        <w:t xml:space="preserve"> </w:t>
      </w:r>
      <w:r w:rsidR="00B13825">
        <w:rPr>
          <w:noProof/>
        </w:rPr>
        <w:t>=</w:t>
      </w:r>
      <w:r w:rsidR="0013703F">
        <w:rPr>
          <w:noProof/>
        </w:rPr>
        <w:t xml:space="preserve"> </w:t>
      </w:r>
      <w:r w:rsidR="00B13825">
        <w:rPr>
          <w:noProof/>
        </w:rPr>
        <w:t>parameter related to ratio of compressive to tensile strengths of concrete</w:t>
      </w:r>
    </w:p>
    <w:p w14:paraId="66A5D5E3" w14:textId="15F5380C" w:rsidR="00B13825" w:rsidRDefault="00B13825">
      <w:pPr>
        <w:pStyle w:val="BodyText2"/>
        <w:spacing w:line="480" w:lineRule="auto"/>
        <w:jc w:val="center"/>
        <w:rPr>
          <w:b/>
          <w:bCs/>
        </w:rPr>
      </w:pPr>
      <w:r>
        <w:rPr>
          <w:rFonts w:hint="eastAsia"/>
          <w:b/>
          <w:bCs/>
        </w:rPr>
        <w:t>REFERENCES</w:t>
      </w:r>
      <w:r>
        <w:rPr>
          <w:b/>
          <w:bCs/>
        </w:rPr>
        <w:t xml:space="preserve"> </w:t>
      </w:r>
    </w:p>
    <w:p w14:paraId="1C4F4488" w14:textId="09F6D54C" w:rsidR="00D97F33" w:rsidRDefault="00D97F33">
      <w:pPr>
        <w:pStyle w:val="BodyText2"/>
        <w:spacing w:line="480" w:lineRule="auto"/>
        <w:jc w:val="center"/>
        <w:rPr>
          <w:color w:val="4472C4" w:themeColor="accent1"/>
          <w:u w:val="single"/>
        </w:rPr>
      </w:pPr>
      <w:r w:rsidRPr="00AD54FF">
        <w:rPr>
          <w:color w:val="4472C4" w:themeColor="accent1"/>
          <w:u w:val="single"/>
        </w:rPr>
        <w:t>(</w:t>
      </w:r>
      <w:r w:rsidR="00F43201">
        <w:rPr>
          <w:color w:val="4472C4" w:themeColor="accent1"/>
          <w:u w:val="single"/>
        </w:rPr>
        <w:t>Reference information should be complete and accurate</w:t>
      </w:r>
      <w:r w:rsidR="001D6E46">
        <w:rPr>
          <w:color w:val="4472C4" w:themeColor="accent1"/>
          <w:u w:val="single"/>
        </w:rPr>
        <w:t xml:space="preserve">, and include any applicable information such as </w:t>
      </w:r>
      <w:r w:rsidRPr="00AD54FF">
        <w:rPr>
          <w:color w:val="4472C4" w:themeColor="accent1"/>
          <w:u w:val="single"/>
        </w:rPr>
        <w:t>author</w:t>
      </w:r>
      <w:r w:rsidR="001D6E46">
        <w:rPr>
          <w:color w:val="4472C4" w:themeColor="accent1"/>
          <w:u w:val="single"/>
        </w:rPr>
        <w:t xml:space="preserve"> names</w:t>
      </w:r>
      <w:r w:rsidRPr="00AD54FF">
        <w:rPr>
          <w:color w:val="4472C4" w:themeColor="accent1"/>
          <w:u w:val="single"/>
        </w:rPr>
        <w:t>, title of pape</w:t>
      </w:r>
      <w:r w:rsidR="00AD54FF" w:rsidRPr="00AD54FF">
        <w:rPr>
          <w:color w:val="4472C4" w:themeColor="accent1"/>
          <w:u w:val="single"/>
        </w:rPr>
        <w:t>r, title of publication, volume number, issue number, date, and page count/page range</w:t>
      </w:r>
      <w:r w:rsidR="00B967CA">
        <w:rPr>
          <w:color w:val="4472C4" w:themeColor="accent1"/>
          <w:u w:val="single"/>
        </w:rPr>
        <w:t xml:space="preserve">. </w:t>
      </w:r>
      <w:r w:rsidR="00B967CA" w:rsidRPr="00B967CA">
        <w:rPr>
          <w:color w:val="4472C4" w:themeColor="accent1"/>
          <w:u w:val="single"/>
        </w:rPr>
        <w:t>ASTM Standard references should include full publication number and title; please do not cite any ASTM Books of Standards</w:t>
      </w:r>
      <w:r w:rsidR="001D6E46">
        <w:rPr>
          <w:color w:val="4472C4" w:themeColor="accent1"/>
          <w:u w:val="single"/>
        </w:rPr>
        <w:t xml:space="preserve">. Referenced work should be published or, at the very least, </w:t>
      </w:r>
      <w:proofErr w:type="spellStart"/>
      <w:r w:rsidR="001D6E46">
        <w:rPr>
          <w:color w:val="4472C4" w:themeColor="accent1"/>
          <w:u w:val="single"/>
        </w:rPr>
        <w:t>prepublished</w:t>
      </w:r>
      <w:proofErr w:type="spellEnd"/>
      <w:r w:rsidR="001D6E46">
        <w:rPr>
          <w:color w:val="4472C4" w:themeColor="accent1"/>
          <w:u w:val="single"/>
        </w:rPr>
        <w:t xml:space="preserve">. If the document in question has been </w:t>
      </w:r>
      <w:proofErr w:type="spellStart"/>
      <w:r w:rsidR="001D6E46">
        <w:rPr>
          <w:color w:val="4472C4" w:themeColor="accent1"/>
          <w:u w:val="single"/>
        </w:rPr>
        <w:t>prepublished</w:t>
      </w:r>
      <w:proofErr w:type="spellEnd"/>
      <w:r w:rsidR="001D6E46">
        <w:rPr>
          <w:color w:val="4472C4" w:themeColor="accent1"/>
          <w:u w:val="single"/>
        </w:rPr>
        <w:t xml:space="preserve"> with an organization, </w:t>
      </w:r>
      <w:r w:rsidR="00662F82">
        <w:rPr>
          <w:color w:val="4472C4" w:themeColor="accent1"/>
          <w:u w:val="single"/>
        </w:rPr>
        <w:t xml:space="preserve">please include as much information as possible, including a DOI [digital object identifier]. </w:t>
      </w:r>
      <w:r w:rsidR="00662F82" w:rsidRPr="00DF659F">
        <w:rPr>
          <w:color w:val="4472C4" w:themeColor="accent1"/>
          <w:u w:val="single"/>
        </w:rPr>
        <w:t>Please do not reference work that has only been accepted for publication.</w:t>
      </w:r>
      <w:r w:rsidR="00AD54FF" w:rsidRPr="00DF659F">
        <w:rPr>
          <w:color w:val="4472C4" w:themeColor="accent1"/>
          <w:u w:val="single"/>
        </w:rPr>
        <w:t>)</w:t>
      </w:r>
    </w:p>
    <w:p w14:paraId="6B2106FD" w14:textId="77777777" w:rsidR="00BA775E" w:rsidRPr="00AD54FF" w:rsidRDefault="00BA775E">
      <w:pPr>
        <w:pStyle w:val="BodyText2"/>
        <w:spacing w:line="480" w:lineRule="auto"/>
        <w:jc w:val="center"/>
        <w:rPr>
          <w:u w:val="single"/>
        </w:rPr>
      </w:pPr>
    </w:p>
    <w:p w14:paraId="40D18EE6" w14:textId="75DA4B7C" w:rsidR="006A5326" w:rsidRPr="006A5326" w:rsidRDefault="006A5326" w:rsidP="006A5326">
      <w:pPr>
        <w:pStyle w:val="BodyText2"/>
        <w:spacing w:line="480" w:lineRule="auto"/>
        <w:jc w:val="left"/>
        <w:rPr>
          <w:b/>
          <w:bCs/>
          <w:u w:val="single"/>
        </w:rPr>
      </w:pPr>
      <w:r w:rsidRPr="006A5326">
        <w:rPr>
          <w:b/>
          <w:bCs/>
          <w:color w:val="4472C4" w:themeColor="accent1"/>
          <w:u w:val="single"/>
        </w:rPr>
        <w:t xml:space="preserve">Vancouver </w:t>
      </w:r>
      <w:r w:rsidR="00CF78D3">
        <w:rPr>
          <w:b/>
          <w:bCs/>
          <w:color w:val="4472C4" w:themeColor="accent1"/>
          <w:u w:val="single"/>
        </w:rPr>
        <w:t xml:space="preserve">(numerical) </w:t>
      </w:r>
      <w:r w:rsidRPr="006A5326">
        <w:rPr>
          <w:b/>
          <w:bCs/>
          <w:color w:val="4472C4" w:themeColor="accent1"/>
          <w:u w:val="single"/>
        </w:rPr>
        <w:t>style examples follo</w:t>
      </w:r>
      <w:r w:rsidR="00A150FE">
        <w:rPr>
          <w:b/>
          <w:bCs/>
          <w:color w:val="4472C4" w:themeColor="accent1"/>
          <w:u w:val="single"/>
        </w:rPr>
        <w:t>w:</w:t>
      </w:r>
    </w:p>
    <w:p w14:paraId="030B49DF" w14:textId="6D2B8D02" w:rsidR="00B13825" w:rsidRDefault="00B13825">
      <w:pPr>
        <w:pStyle w:val="BodyText2"/>
        <w:spacing w:line="480" w:lineRule="auto"/>
      </w:pPr>
      <w:r>
        <w:t xml:space="preserve">1. </w:t>
      </w:r>
      <w:proofErr w:type="spellStart"/>
      <w:r>
        <w:rPr>
          <w:rFonts w:hint="eastAsia"/>
        </w:rPr>
        <w:t>Nagataki</w:t>
      </w:r>
      <w:proofErr w:type="spellEnd"/>
      <w:r>
        <w:rPr>
          <w:rFonts w:hint="eastAsia"/>
        </w:rPr>
        <w:t xml:space="preserve">, S., </w:t>
      </w:r>
      <w:r>
        <w:t>“</w:t>
      </w:r>
      <w:r>
        <w:rPr>
          <w:rFonts w:hint="eastAsia"/>
        </w:rPr>
        <w:t xml:space="preserve">State of the Art Report on Air-Entraining High Range Water-Reducing Admixture, </w:t>
      </w:r>
      <w:r>
        <w:rPr>
          <w:rFonts w:hint="eastAsia"/>
          <w:i/>
          <w:iCs/>
        </w:rPr>
        <w:t>Concrete Journal of JCI</w:t>
      </w:r>
      <w:r>
        <w:rPr>
          <w:rFonts w:hint="eastAsia"/>
        </w:rPr>
        <w:t>, V. 28, No. 6, 1990, pp.</w:t>
      </w:r>
      <w:r>
        <w:t xml:space="preserve"> 5-15.</w:t>
      </w:r>
    </w:p>
    <w:p w14:paraId="631DB2C5" w14:textId="2EE4475C" w:rsidR="00B13825" w:rsidRDefault="00B13825">
      <w:pPr>
        <w:pStyle w:val="BodyText2"/>
        <w:spacing w:line="480" w:lineRule="auto"/>
      </w:pPr>
      <w:r>
        <w:t xml:space="preserve">2. </w:t>
      </w:r>
      <w:r>
        <w:rPr>
          <w:rFonts w:hint="eastAsia"/>
        </w:rPr>
        <w:t xml:space="preserve">Hattori, K., </w:t>
      </w:r>
      <w:r>
        <w:t>“</w:t>
      </w:r>
      <w:r>
        <w:rPr>
          <w:rFonts w:hint="eastAsia"/>
        </w:rPr>
        <w:t>Experiences with Mighty Superplasticizer in Japan,</w:t>
      </w:r>
      <w:r>
        <w:t>”</w:t>
      </w:r>
      <w:r>
        <w:rPr>
          <w:rFonts w:hint="eastAsia"/>
        </w:rPr>
        <w:t xml:space="preserve"> </w:t>
      </w:r>
      <w:r>
        <w:rPr>
          <w:i/>
          <w:iCs/>
        </w:rPr>
        <w:t xml:space="preserve">Superplasticizers in </w:t>
      </w:r>
      <w:r>
        <w:rPr>
          <w:i/>
          <w:iCs/>
        </w:rPr>
        <w:lastRenderedPageBreak/>
        <w:t>Concrete</w:t>
      </w:r>
      <w:r>
        <w:t xml:space="preserve">, </w:t>
      </w:r>
      <w:r w:rsidR="00B967CA">
        <w:t xml:space="preserve">ACI </w:t>
      </w:r>
      <w:r>
        <w:rPr>
          <w:rFonts w:hint="eastAsia"/>
        </w:rPr>
        <w:t xml:space="preserve">SP-62, </w:t>
      </w:r>
      <w:r>
        <w:t xml:space="preserve">V. M. Malhotra, ed., American Concrete Institute, Farmington Hills, </w:t>
      </w:r>
      <w:r w:rsidR="00C531C9">
        <w:t>MI</w:t>
      </w:r>
      <w:r>
        <w:t xml:space="preserve">, </w:t>
      </w:r>
      <w:r>
        <w:rPr>
          <w:rFonts w:hint="eastAsia"/>
        </w:rPr>
        <w:t>1979, pp.</w:t>
      </w:r>
      <w:r>
        <w:t xml:space="preserve"> </w:t>
      </w:r>
      <w:r>
        <w:rPr>
          <w:rFonts w:hint="eastAsia"/>
        </w:rPr>
        <w:t>37-66</w:t>
      </w:r>
      <w:r>
        <w:t>.</w:t>
      </w:r>
    </w:p>
    <w:p w14:paraId="056029B5" w14:textId="371A6F66" w:rsidR="00B13825" w:rsidRDefault="00B13825">
      <w:pPr>
        <w:pStyle w:val="BodyText2"/>
        <w:widowControl/>
        <w:spacing w:line="480" w:lineRule="auto"/>
        <w:rPr>
          <w:snapToGrid/>
          <w:szCs w:val="24"/>
        </w:rPr>
      </w:pPr>
      <w:r>
        <w:rPr>
          <w:snapToGrid/>
          <w:szCs w:val="24"/>
        </w:rPr>
        <w:t xml:space="preserve">3. Lin, T. Y., and Burns, N. H., </w:t>
      </w:r>
      <w:r w:rsidRPr="00E74F07">
        <w:rPr>
          <w:i/>
          <w:iCs/>
          <w:snapToGrid/>
          <w:szCs w:val="24"/>
        </w:rPr>
        <w:t>Design of Prestressed Concrete Structures</w:t>
      </w:r>
      <w:r>
        <w:rPr>
          <w:snapToGrid/>
          <w:szCs w:val="24"/>
        </w:rPr>
        <w:t xml:space="preserve">, </w:t>
      </w:r>
      <w:r w:rsidR="00BB57ED">
        <w:rPr>
          <w:snapToGrid/>
          <w:szCs w:val="24"/>
        </w:rPr>
        <w:t>thi</w:t>
      </w:r>
      <w:r>
        <w:rPr>
          <w:snapToGrid/>
          <w:szCs w:val="24"/>
        </w:rPr>
        <w:t xml:space="preserve">rd </w:t>
      </w:r>
      <w:r w:rsidR="00BB57ED">
        <w:rPr>
          <w:snapToGrid/>
          <w:szCs w:val="24"/>
        </w:rPr>
        <w:t>e</w:t>
      </w:r>
      <w:r>
        <w:rPr>
          <w:snapToGrid/>
          <w:szCs w:val="24"/>
        </w:rPr>
        <w:t>dition, John Wiley &amp; Sons</w:t>
      </w:r>
      <w:r w:rsidR="00BB57ED">
        <w:rPr>
          <w:snapToGrid/>
          <w:szCs w:val="24"/>
        </w:rPr>
        <w:t>, Inc.</w:t>
      </w:r>
      <w:r>
        <w:rPr>
          <w:snapToGrid/>
          <w:szCs w:val="24"/>
        </w:rPr>
        <w:t>, New York, 1981, 368 pp.</w:t>
      </w:r>
    </w:p>
    <w:p w14:paraId="552CABB7" w14:textId="2081FF79" w:rsidR="00B13825" w:rsidRDefault="00B13825">
      <w:pPr>
        <w:spacing w:line="480" w:lineRule="auto"/>
        <w:jc w:val="both"/>
      </w:pPr>
      <w:r>
        <w:t xml:space="preserve">4. Naaman, A. E., and </w:t>
      </w:r>
      <w:proofErr w:type="spellStart"/>
      <w:r>
        <w:t>Alkhairi</w:t>
      </w:r>
      <w:proofErr w:type="spellEnd"/>
      <w:r>
        <w:t>, F. M., “Stress at Ultimate in Unbonded Post-</w:t>
      </w:r>
      <w:r w:rsidR="00C531C9">
        <w:t>T</w:t>
      </w:r>
      <w:r>
        <w:t>ensioning Tendons: Part 2</w:t>
      </w:r>
      <w:r w:rsidR="00B119D2">
        <w:t>—</w:t>
      </w:r>
      <w:r>
        <w:t xml:space="preserve">Proposed Methodology,” </w:t>
      </w:r>
      <w:r>
        <w:rPr>
          <w:i/>
          <w:iCs/>
        </w:rPr>
        <w:t>ACI Structural Journal</w:t>
      </w:r>
      <w:r>
        <w:t>, V. 88, No. 6, Nov.-Dec. 1991, pp. 683-692.</w:t>
      </w:r>
    </w:p>
    <w:p w14:paraId="2DC476B4" w14:textId="77777777" w:rsidR="00B13825" w:rsidRDefault="00B13825">
      <w:pPr>
        <w:spacing w:line="480" w:lineRule="auto"/>
        <w:jc w:val="both"/>
      </w:pPr>
      <w:r>
        <w:t xml:space="preserve">5. Grace, N. F., and Abdel-Sayed, G., “Ductility of Prestressed Concrete Bridges Using CFRP Strands,” </w:t>
      </w:r>
      <w:r>
        <w:rPr>
          <w:i/>
          <w:iCs/>
        </w:rPr>
        <w:t>Concrete International</w:t>
      </w:r>
      <w:r>
        <w:t>, V. 20, No. 6, June 1998, pp. 25-30.</w:t>
      </w:r>
    </w:p>
    <w:p w14:paraId="41F79A7C" w14:textId="12F40029" w:rsidR="00B119D2" w:rsidRDefault="00B119D2">
      <w:pPr>
        <w:spacing w:line="480" w:lineRule="auto"/>
        <w:jc w:val="both"/>
      </w:pPr>
      <w:r>
        <w:t>6. ASTM C150/C150M-22, “</w:t>
      </w:r>
      <w:r w:rsidRPr="00B119D2">
        <w:t>Standard Specification for Portland Cement</w:t>
      </w:r>
      <w:r>
        <w:t>,” ASTM International, West Conshohocken, PA, 2022, 9 pp.</w:t>
      </w:r>
      <w:r w:rsidR="00760D35">
        <w:t xml:space="preserve"> </w:t>
      </w:r>
    </w:p>
    <w:p w14:paraId="75879DC3" w14:textId="77777777" w:rsidR="00B839DB" w:rsidRDefault="00B839DB">
      <w:pPr>
        <w:spacing w:line="480" w:lineRule="auto"/>
        <w:jc w:val="both"/>
      </w:pPr>
    </w:p>
    <w:p w14:paraId="47C128E6" w14:textId="7CE7B62D" w:rsidR="00D058ED" w:rsidRDefault="00D058ED" w:rsidP="00D058ED">
      <w:pPr>
        <w:pStyle w:val="BodyText2"/>
        <w:spacing w:line="480" w:lineRule="auto"/>
        <w:jc w:val="left"/>
        <w:rPr>
          <w:b/>
          <w:bCs/>
          <w:color w:val="4472C4" w:themeColor="accent1"/>
          <w:u w:val="single"/>
        </w:rPr>
      </w:pPr>
      <w:r>
        <w:rPr>
          <w:b/>
          <w:bCs/>
          <w:color w:val="4472C4" w:themeColor="accent1"/>
          <w:u w:val="single"/>
        </w:rPr>
        <w:t>Harvard (last name and year)</w:t>
      </w:r>
      <w:r w:rsidRPr="006A5326">
        <w:rPr>
          <w:b/>
          <w:bCs/>
          <w:color w:val="4472C4" w:themeColor="accent1"/>
          <w:u w:val="single"/>
        </w:rPr>
        <w:t xml:space="preserve"> style examples follow:</w:t>
      </w:r>
    </w:p>
    <w:p w14:paraId="24E7D467" w14:textId="08215AE7" w:rsidR="00494985" w:rsidRPr="00494985" w:rsidRDefault="00494985" w:rsidP="00D058ED">
      <w:pPr>
        <w:pStyle w:val="BodyText2"/>
        <w:spacing w:line="480" w:lineRule="auto"/>
        <w:jc w:val="left"/>
        <w:rPr>
          <w:b/>
          <w:bCs/>
          <w:u w:val="single"/>
        </w:rPr>
      </w:pPr>
      <w:r w:rsidRPr="00494985">
        <w:rPr>
          <w:color w:val="4472C4" w:themeColor="accent1"/>
          <w:u w:val="single"/>
        </w:rPr>
        <w:t xml:space="preserve">(When multiple name-date references could have the same attribution, use an additional letter after the </w:t>
      </w:r>
      <w:r w:rsidR="000F4035">
        <w:rPr>
          <w:color w:val="4472C4" w:themeColor="accent1"/>
          <w:u w:val="single"/>
        </w:rPr>
        <w:t>year</w:t>
      </w:r>
      <w:r w:rsidRPr="00494985">
        <w:rPr>
          <w:color w:val="4472C4" w:themeColor="accent1"/>
          <w:u w:val="single"/>
        </w:rPr>
        <w:t xml:space="preserve"> to differentiate</w:t>
      </w:r>
      <w:r>
        <w:rPr>
          <w:color w:val="4472C4" w:themeColor="accent1"/>
          <w:u w:val="single"/>
        </w:rPr>
        <w:t xml:space="preserve">; for example, </w:t>
      </w:r>
      <w:r w:rsidR="000F4035">
        <w:rPr>
          <w:color w:val="4472C4" w:themeColor="accent1"/>
          <w:u w:val="single"/>
        </w:rPr>
        <w:t>2022a, 2022b</w:t>
      </w:r>
      <w:r w:rsidRPr="00494985">
        <w:rPr>
          <w:color w:val="4472C4" w:themeColor="accent1"/>
          <w:u w:val="single"/>
        </w:rPr>
        <w:t>)</w:t>
      </w:r>
    </w:p>
    <w:p w14:paraId="4CC6DA94" w14:textId="7E874E06" w:rsidR="00B119D2" w:rsidRDefault="00B119D2">
      <w:pPr>
        <w:spacing w:line="480" w:lineRule="auto"/>
        <w:jc w:val="both"/>
      </w:pPr>
      <w:r>
        <w:t>ACI Committee 318, 2019, “</w:t>
      </w:r>
      <w:r w:rsidRPr="00B119D2">
        <w:t>Building Code Requirements for Structural Concrete</w:t>
      </w:r>
      <w:r>
        <w:t xml:space="preserve"> </w:t>
      </w:r>
      <w:r w:rsidRPr="00B119D2">
        <w:t xml:space="preserve">and Commentary </w:t>
      </w:r>
      <w:r>
        <w:t>(ACI 318</w:t>
      </w:r>
      <w:r w:rsidR="00C65E12">
        <w:t>R</w:t>
      </w:r>
      <w:r>
        <w:t xml:space="preserve">-19) </w:t>
      </w:r>
      <w:r w:rsidRPr="00B119D2">
        <w:t>(Reapproved 2022)</w:t>
      </w:r>
      <w:r>
        <w:t>,” American Concrete Institute, Farmington Hills, MI, 624 pp.</w:t>
      </w:r>
    </w:p>
    <w:p w14:paraId="2AC16F36" w14:textId="4A15C556" w:rsidR="00B119D2" w:rsidRDefault="00B119D2" w:rsidP="00B119D2">
      <w:pPr>
        <w:spacing w:line="480" w:lineRule="auto"/>
        <w:jc w:val="both"/>
      </w:pPr>
      <w:r>
        <w:t xml:space="preserve">CSA S806-12, 2012, “Design and Construction of Building Structures with </w:t>
      </w:r>
      <w:proofErr w:type="spellStart"/>
      <w:r>
        <w:t>Fibre</w:t>
      </w:r>
      <w:proofErr w:type="spellEnd"/>
      <w:r>
        <w:t>-Reinforced Polymers,” CSA Group, Toronto, ON, Canada.</w:t>
      </w:r>
      <w:r w:rsidR="00460A1E">
        <w:t xml:space="preserve"> </w:t>
      </w:r>
    </w:p>
    <w:p w14:paraId="55C4AD29" w14:textId="77777777" w:rsidR="00460A1E" w:rsidRDefault="00460A1E" w:rsidP="00460A1E">
      <w:pPr>
        <w:spacing w:line="480" w:lineRule="auto"/>
        <w:jc w:val="both"/>
      </w:pPr>
      <w:r>
        <w:t xml:space="preserve">Hosseini, S. M.; Mousa, S.; Mohamed, H. M.; and Benmokrane, B., 2022a, “Structural Behavior of Precast Reinforced Concrete Tunnel Segments with Glass Fiber-Reinforced Polymer Bars and Ties under Bending Load,” </w:t>
      </w:r>
      <w:r w:rsidRPr="00E74F07">
        <w:rPr>
          <w:i/>
          <w:iCs/>
        </w:rPr>
        <w:t>ACI Structural Journal</w:t>
      </w:r>
      <w:r>
        <w:t>, V. 119, No. 1, Jan., pp. 307-319.</w:t>
      </w:r>
    </w:p>
    <w:p w14:paraId="00DCCCBE" w14:textId="59190D76" w:rsidR="00460A1E" w:rsidRDefault="00460A1E" w:rsidP="00460A1E">
      <w:pPr>
        <w:spacing w:line="480" w:lineRule="auto"/>
        <w:jc w:val="both"/>
      </w:pPr>
      <w:r>
        <w:lastRenderedPageBreak/>
        <w:t xml:space="preserve">Hosseini, S. M.; Mousa, S.; Mohamed, H. M.; Eslami, A.; and Benmokrane, B., 2022b, “Experimental and Analytical Study on Precast High-Strength Concrete Tunnel Lining Segments Reinforced with GFRP Bars,” </w:t>
      </w:r>
      <w:r w:rsidRPr="00E74F07">
        <w:rPr>
          <w:i/>
          <w:iCs/>
        </w:rPr>
        <w:t>Journal of Composites for Construction</w:t>
      </w:r>
      <w:r>
        <w:t xml:space="preserve">, ASCE, V. 26, No. 5, Oct., p. 04022062. </w:t>
      </w:r>
      <w:proofErr w:type="spellStart"/>
      <w:r>
        <w:t>doi</w:t>
      </w:r>
      <w:proofErr w:type="spellEnd"/>
      <w:r>
        <w:t xml:space="preserve">: 10.1061/(ASCE)CC.1943-5614.0001257 </w:t>
      </w:r>
    </w:p>
    <w:p w14:paraId="5E689E1B" w14:textId="56420094" w:rsidR="00B119D2" w:rsidRDefault="00B119D2">
      <w:pPr>
        <w:spacing w:line="480" w:lineRule="auto"/>
        <w:jc w:val="both"/>
      </w:pPr>
      <w:r>
        <w:t xml:space="preserve">Naaman, A. E., and </w:t>
      </w:r>
      <w:proofErr w:type="spellStart"/>
      <w:r>
        <w:t>Alkhairi</w:t>
      </w:r>
      <w:proofErr w:type="spellEnd"/>
      <w:r>
        <w:t>, F. M., 1991, “Stress at Ultimate in Unbonded Post-</w:t>
      </w:r>
      <w:r w:rsidR="008E2B4E">
        <w:t>T</w:t>
      </w:r>
      <w:r>
        <w:t xml:space="preserve">ensioning Tendons: Part 2—Proposed Methodology,” </w:t>
      </w:r>
      <w:r>
        <w:rPr>
          <w:i/>
          <w:iCs/>
        </w:rPr>
        <w:t>ACI Structural Journal</w:t>
      </w:r>
      <w:r>
        <w:t>, V. 88, No. 6, Nov.-Dec., pp. 683-692.</w:t>
      </w:r>
      <w:r w:rsidR="00460A1E">
        <w:t xml:space="preserve">  </w:t>
      </w:r>
    </w:p>
    <w:p w14:paraId="650AAE75" w14:textId="6B25C626" w:rsidR="00E75C77" w:rsidRDefault="00B119D2" w:rsidP="00E75C77">
      <w:pPr>
        <w:spacing w:line="480" w:lineRule="auto"/>
        <w:jc w:val="both"/>
      </w:pPr>
      <w:r>
        <w:t xml:space="preserve">Robert, M.; Cousin, P.; and Benmokrane, B., 2009, “Durability of GFRP Reinforcing Bars Embedded in Moist Concrete,” </w:t>
      </w:r>
      <w:r w:rsidRPr="00E74F07">
        <w:rPr>
          <w:i/>
          <w:iCs/>
        </w:rPr>
        <w:t>Journal of Composites for Construction</w:t>
      </w:r>
      <w:r>
        <w:t xml:space="preserve">, ASCE, V. 13, No. 2, pp. 66-73. </w:t>
      </w:r>
      <w:proofErr w:type="spellStart"/>
      <w:r>
        <w:t>doi</w:t>
      </w:r>
      <w:proofErr w:type="spellEnd"/>
      <w:r>
        <w:t>: 10.1061/(ASCE)1090-0268(2009)13:2(66)</w:t>
      </w:r>
      <w:r w:rsidR="00460A1E">
        <w:t xml:space="preserve"> </w:t>
      </w:r>
    </w:p>
    <w:p w14:paraId="232F9CDD" w14:textId="77777777" w:rsidR="00E75C77" w:rsidRDefault="00E75C77">
      <w:r>
        <w:br w:type="page"/>
      </w:r>
    </w:p>
    <w:p w14:paraId="65D39AE3" w14:textId="351CAB49" w:rsidR="00B13825" w:rsidRDefault="00B13825">
      <w:pPr>
        <w:pStyle w:val="Heading2"/>
        <w:tabs>
          <w:tab w:val="left" w:pos="810"/>
        </w:tabs>
        <w:spacing w:line="480" w:lineRule="auto"/>
        <w:rPr>
          <w:caps/>
        </w:rPr>
      </w:pPr>
      <w:r>
        <w:rPr>
          <w:caps/>
        </w:rPr>
        <w:lastRenderedPageBreak/>
        <w:t xml:space="preserve">Appendix </w:t>
      </w:r>
      <w:r w:rsidR="00C705DF">
        <w:rPr>
          <w:caps/>
        </w:rPr>
        <w:t>A</w:t>
      </w:r>
    </w:p>
    <w:p w14:paraId="01E9F53F" w14:textId="7266B133" w:rsidR="00E75C77" w:rsidRDefault="00B13825">
      <w:pPr>
        <w:pStyle w:val="Heading2"/>
        <w:tabs>
          <w:tab w:val="left" w:pos="810"/>
        </w:tabs>
        <w:spacing w:line="480" w:lineRule="auto"/>
        <w:rPr>
          <w:b w:val="0"/>
          <w:bCs/>
          <w:color w:val="4472C4" w:themeColor="accent1"/>
          <w:u w:val="single"/>
        </w:rPr>
      </w:pPr>
      <w:r w:rsidRPr="00C705DF">
        <w:rPr>
          <w:b w:val="0"/>
          <w:bCs/>
          <w:color w:val="4472C4" w:themeColor="accent1"/>
          <w:u w:val="single"/>
        </w:rPr>
        <w:t>(</w:t>
      </w:r>
      <w:r w:rsidR="00B725C3">
        <w:rPr>
          <w:b w:val="0"/>
          <w:bCs/>
          <w:color w:val="4472C4" w:themeColor="accent1"/>
          <w:u w:val="single"/>
        </w:rPr>
        <w:t>Will not be published in the printed journal if the manuscript and appendixes combined exceed the 12,000 words or word-equivalent count</w:t>
      </w:r>
      <w:r w:rsidR="00087173">
        <w:rPr>
          <w:b w:val="0"/>
          <w:bCs/>
          <w:color w:val="4472C4" w:themeColor="accent1"/>
          <w:u w:val="single"/>
        </w:rPr>
        <w:t>.</w:t>
      </w:r>
      <w:r w:rsidR="009962FC">
        <w:rPr>
          <w:b w:val="0"/>
          <w:bCs/>
          <w:color w:val="4472C4" w:themeColor="accent1"/>
          <w:u w:val="single"/>
        </w:rPr>
        <w:t xml:space="preserve"> Instead, will appear in PDF format on the ACI website in their original, unedited form, as addenda of the published paper.</w:t>
      </w:r>
      <w:r w:rsidRPr="00C705DF">
        <w:rPr>
          <w:b w:val="0"/>
          <w:bCs/>
          <w:color w:val="4472C4" w:themeColor="accent1"/>
          <w:u w:val="single"/>
        </w:rPr>
        <w:t>)</w:t>
      </w:r>
    </w:p>
    <w:p w14:paraId="68A8DB79" w14:textId="77777777" w:rsidR="00E75C77" w:rsidRDefault="00E75C77">
      <w:pPr>
        <w:rPr>
          <w:bCs/>
          <w:snapToGrid w:val="0"/>
          <w:color w:val="4472C4" w:themeColor="accent1"/>
          <w:szCs w:val="20"/>
          <w:u w:val="single"/>
          <w:lang w:eastAsia="en-US"/>
        </w:rPr>
      </w:pPr>
      <w:r>
        <w:rPr>
          <w:b/>
          <w:bCs/>
          <w:color w:val="4472C4" w:themeColor="accent1"/>
          <w:u w:val="single"/>
        </w:rPr>
        <w:br w:type="page"/>
      </w:r>
    </w:p>
    <w:p w14:paraId="58650956" w14:textId="77777777" w:rsidR="00B13825" w:rsidRDefault="00B13825">
      <w:pPr>
        <w:pStyle w:val="Heading2"/>
        <w:tabs>
          <w:tab w:val="left" w:pos="810"/>
        </w:tabs>
        <w:spacing w:line="480" w:lineRule="auto"/>
        <w:rPr>
          <w:caps/>
        </w:rPr>
      </w:pPr>
      <w:r>
        <w:rPr>
          <w:caps/>
        </w:rPr>
        <w:lastRenderedPageBreak/>
        <w:t xml:space="preserve">tables and figures </w:t>
      </w:r>
    </w:p>
    <w:p w14:paraId="37240887" w14:textId="77777777" w:rsidR="00B13825" w:rsidRDefault="00B13825">
      <w:pPr>
        <w:pStyle w:val="BodyText2"/>
        <w:spacing w:line="480" w:lineRule="auto"/>
        <w:rPr>
          <w:b/>
        </w:rPr>
      </w:pPr>
      <w:r>
        <w:rPr>
          <w:b/>
        </w:rPr>
        <w:t>List of Tables:</w:t>
      </w:r>
    </w:p>
    <w:p w14:paraId="7C67E62D" w14:textId="2666F887" w:rsidR="00B13825" w:rsidRDefault="00B13825">
      <w:pPr>
        <w:spacing w:line="480" w:lineRule="auto"/>
      </w:pPr>
      <w:r>
        <w:rPr>
          <w:rFonts w:hint="eastAsia"/>
          <w:b/>
        </w:rPr>
        <w:t>Table 1</w:t>
      </w:r>
      <w:r w:rsidR="00150516" w:rsidRPr="00150516">
        <w:rPr>
          <w:b/>
        </w:rPr>
        <w:t>—</w:t>
      </w:r>
      <w:r>
        <w:rPr>
          <w:rFonts w:hint="eastAsia"/>
          <w:bCs/>
        </w:rPr>
        <w:t xml:space="preserve">Physical </w:t>
      </w:r>
      <w:r>
        <w:rPr>
          <w:rFonts w:hint="eastAsia"/>
        </w:rPr>
        <w:t xml:space="preserve">and </w:t>
      </w:r>
      <w:r>
        <w:t>c</w:t>
      </w:r>
      <w:r>
        <w:rPr>
          <w:rFonts w:hint="eastAsia"/>
        </w:rPr>
        <w:t xml:space="preserve">hemical </w:t>
      </w:r>
      <w:r>
        <w:t>c</w:t>
      </w:r>
      <w:r>
        <w:rPr>
          <w:rFonts w:hint="eastAsia"/>
        </w:rPr>
        <w:t xml:space="preserve">ompositions of </w:t>
      </w:r>
      <w:r>
        <w:t>c</w:t>
      </w:r>
      <w:r>
        <w:rPr>
          <w:rFonts w:hint="eastAsia"/>
        </w:rPr>
        <w:t xml:space="preserve">ement and </w:t>
      </w:r>
      <w:r>
        <w:t>s</w:t>
      </w:r>
      <w:r>
        <w:rPr>
          <w:rFonts w:hint="eastAsia"/>
        </w:rPr>
        <w:t>lags</w:t>
      </w:r>
    </w:p>
    <w:p w14:paraId="38F642F6" w14:textId="2B3F96DE" w:rsidR="00B13825" w:rsidRDefault="00B13825">
      <w:pPr>
        <w:tabs>
          <w:tab w:val="left" w:pos="720"/>
        </w:tabs>
        <w:spacing w:line="480" w:lineRule="auto"/>
      </w:pPr>
      <w:r>
        <w:rPr>
          <w:b/>
          <w:bCs/>
        </w:rPr>
        <w:t>Table 2</w:t>
      </w:r>
      <w:r w:rsidR="00150516" w:rsidRPr="00150516">
        <w:rPr>
          <w:b/>
        </w:rPr>
        <w:t>—</w:t>
      </w:r>
      <w:r>
        <w:t>Characteristics of CFRP tendons/CFCC strands</w:t>
      </w:r>
    </w:p>
    <w:p w14:paraId="5A739F86" w14:textId="77777777" w:rsidR="00B13825" w:rsidRDefault="00B13825">
      <w:pPr>
        <w:pStyle w:val="BodyText2"/>
        <w:spacing w:line="480" w:lineRule="auto"/>
      </w:pPr>
    </w:p>
    <w:p w14:paraId="20BBAE73" w14:textId="77777777" w:rsidR="00B13825" w:rsidRDefault="00B13825">
      <w:pPr>
        <w:pStyle w:val="BodyText2"/>
        <w:spacing w:line="480" w:lineRule="auto"/>
        <w:rPr>
          <w:b/>
        </w:rPr>
      </w:pPr>
      <w:r>
        <w:rPr>
          <w:b/>
        </w:rPr>
        <w:t>List of Figures:</w:t>
      </w:r>
    </w:p>
    <w:p w14:paraId="5B20324A" w14:textId="299B7CFB" w:rsidR="00B13825" w:rsidRDefault="00B13825">
      <w:pPr>
        <w:pStyle w:val="BodyText2"/>
        <w:spacing w:line="480" w:lineRule="auto"/>
        <w:rPr>
          <w:bCs/>
          <w:szCs w:val="24"/>
          <w:lang w:val="en-GB"/>
        </w:rPr>
      </w:pPr>
      <w:r>
        <w:rPr>
          <w:b/>
          <w:szCs w:val="24"/>
          <w:lang w:val="en-GB"/>
        </w:rPr>
        <w:t>F</w:t>
      </w:r>
      <w:r>
        <w:rPr>
          <w:b/>
          <w:lang w:val="en-GB"/>
        </w:rPr>
        <w:t>ig</w:t>
      </w:r>
      <w:r>
        <w:rPr>
          <w:b/>
          <w:szCs w:val="24"/>
          <w:lang w:val="en-GB"/>
        </w:rPr>
        <w:t xml:space="preserve">. </w:t>
      </w:r>
      <w:r>
        <w:rPr>
          <w:b/>
          <w:lang w:val="en-GB"/>
        </w:rPr>
        <w:t>1</w:t>
      </w:r>
      <w:r w:rsidR="00150516" w:rsidRPr="00150516">
        <w:rPr>
          <w:b/>
        </w:rPr>
        <w:t>—</w:t>
      </w:r>
      <w:r w:rsidR="00150516">
        <w:rPr>
          <w:bCs/>
          <w:szCs w:val="24"/>
          <w:lang w:val="en-GB"/>
        </w:rPr>
        <w:t>O</w:t>
      </w:r>
      <w:r>
        <w:rPr>
          <w:bCs/>
          <w:szCs w:val="24"/>
          <w:lang w:val="en-GB"/>
        </w:rPr>
        <w:t>verview of specimen in position ready for testing.</w:t>
      </w:r>
    </w:p>
    <w:p w14:paraId="7D3629C7" w14:textId="6F95B3A4" w:rsidR="00B13825" w:rsidRDefault="00150516">
      <w:pPr>
        <w:pStyle w:val="BodyText2"/>
        <w:spacing w:line="480" w:lineRule="auto"/>
        <w:rPr>
          <w:bCs/>
          <w:szCs w:val="24"/>
          <w:lang w:val="en-GB"/>
        </w:rPr>
      </w:pPr>
      <w:r>
        <w:rPr>
          <w:bCs/>
          <w:szCs w:val="24"/>
          <w:lang w:val="en-GB"/>
        </w:rPr>
        <w:t>(…)</w:t>
      </w:r>
    </w:p>
    <w:p w14:paraId="21EDC2E3" w14:textId="05E83A61" w:rsidR="00E75C77" w:rsidRDefault="00B13825">
      <w:pPr>
        <w:pStyle w:val="BodyText2"/>
        <w:spacing w:line="480" w:lineRule="auto"/>
        <w:rPr>
          <w:bCs/>
          <w:szCs w:val="24"/>
          <w:lang w:val="en-GB"/>
        </w:rPr>
      </w:pPr>
      <w:r>
        <w:rPr>
          <w:b/>
          <w:szCs w:val="24"/>
          <w:lang w:val="en-GB"/>
        </w:rPr>
        <w:t>F</w:t>
      </w:r>
      <w:r>
        <w:rPr>
          <w:b/>
          <w:lang w:val="en-GB"/>
        </w:rPr>
        <w:t>ig</w:t>
      </w:r>
      <w:r>
        <w:rPr>
          <w:b/>
          <w:szCs w:val="24"/>
          <w:lang w:val="en-GB"/>
        </w:rPr>
        <w:t xml:space="preserve">. </w:t>
      </w:r>
      <w:r>
        <w:rPr>
          <w:b/>
          <w:lang w:val="en-GB"/>
        </w:rPr>
        <w:t>6</w:t>
      </w:r>
      <w:r w:rsidR="00150516" w:rsidRPr="00150516">
        <w:rPr>
          <w:b/>
        </w:rPr>
        <w:t>—</w:t>
      </w:r>
      <w:r w:rsidR="00397B28" w:rsidRPr="00397B28">
        <w:rPr>
          <w:bCs/>
        </w:rPr>
        <w:t>Peak lateral stiffness versus applied drift ratio</w:t>
      </w:r>
      <w:r w:rsidRPr="00397B28">
        <w:rPr>
          <w:bCs/>
          <w:szCs w:val="24"/>
          <w:lang w:val="en-GB"/>
        </w:rPr>
        <w:t>.</w:t>
      </w:r>
    </w:p>
    <w:p w14:paraId="3914504A" w14:textId="77777777" w:rsidR="00E75C77" w:rsidRDefault="00E75C77">
      <w:pPr>
        <w:rPr>
          <w:bCs/>
          <w:snapToGrid w:val="0"/>
          <w:lang w:val="en-GB"/>
        </w:rPr>
      </w:pPr>
      <w:r>
        <w:rPr>
          <w:bCs/>
          <w:lang w:val="en-GB"/>
        </w:rPr>
        <w:br w:type="page"/>
      </w:r>
    </w:p>
    <w:p w14:paraId="395A413A" w14:textId="1C860F36" w:rsidR="00B13825" w:rsidRDefault="00B13825" w:rsidP="02DC88D8">
      <w:pPr>
        <w:spacing w:line="480" w:lineRule="auto"/>
        <w:jc w:val="center"/>
        <w:rPr>
          <w:b/>
          <w:bCs/>
        </w:rPr>
      </w:pPr>
      <w:r w:rsidRPr="02DC88D8">
        <w:rPr>
          <w:b/>
          <w:bCs/>
        </w:rPr>
        <w:lastRenderedPageBreak/>
        <w:t>Table 1</w:t>
      </w:r>
      <w:r w:rsidR="1FD60002" w:rsidRPr="02DC88D8">
        <w:rPr>
          <w:rFonts w:eastAsia="Times New Roman"/>
        </w:rPr>
        <w:t>—</w:t>
      </w:r>
      <w:r w:rsidRPr="02DC88D8">
        <w:rPr>
          <w:b/>
          <w:bCs/>
        </w:rPr>
        <w:t>Physical and chemical compositions of cement and slag</w:t>
      </w:r>
    </w:p>
    <w:tbl>
      <w:tblPr>
        <w:tblW w:w="7363" w:type="dxa"/>
        <w:jc w:val="center"/>
        <w:tblBorders>
          <w:top w:val="double" w:sz="4" w:space="0" w:color="auto"/>
          <w:bottom w:val="double" w:sz="4" w:space="0" w:color="auto"/>
          <w:insideH w:val="single" w:sz="4" w:space="0" w:color="auto"/>
          <w:insideV w:val="single" w:sz="4" w:space="0" w:color="auto"/>
        </w:tblBorders>
        <w:tblLook w:val="0000" w:firstRow="0" w:lastRow="0" w:firstColumn="0" w:lastColumn="0" w:noHBand="0" w:noVBand="0"/>
      </w:tblPr>
      <w:tblGrid>
        <w:gridCol w:w="2642"/>
        <w:gridCol w:w="1661"/>
        <w:gridCol w:w="1419"/>
        <w:gridCol w:w="1641"/>
      </w:tblGrid>
      <w:tr w:rsidR="00B13825" w14:paraId="06D47E0A" w14:textId="77777777" w:rsidTr="02DC88D8">
        <w:trPr>
          <w:jc w:val="center"/>
        </w:trPr>
        <w:tc>
          <w:tcPr>
            <w:tcW w:w="2642" w:type="dxa"/>
            <w:tcBorders>
              <w:top w:val="double" w:sz="4" w:space="0" w:color="auto"/>
              <w:bottom w:val="double" w:sz="4" w:space="0" w:color="auto"/>
              <w:right w:val="nil"/>
            </w:tcBorders>
          </w:tcPr>
          <w:p w14:paraId="568521D7" w14:textId="77777777" w:rsidR="00B13825" w:rsidRDefault="00B13825">
            <w:pPr>
              <w:jc w:val="center"/>
            </w:pPr>
          </w:p>
        </w:tc>
        <w:tc>
          <w:tcPr>
            <w:tcW w:w="1661" w:type="dxa"/>
            <w:tcBorders>
              <w:top w:val="double" w:sz="4" w:space="0" w:color="auto"/>
              <w:left w:val="nil"/>
              <w:bottom w:val="double" w:sz="4" w:space="0" w:color="auto"/>
              <w:right w:val="nil"/>
            </w:tcBorders>
          </w:tcPr>
          <w:p w14:paraId="4C7011CB" w14:textId="77777777" w:rsidR="00B13825" w:rsidRDefault="00B13825">
            <w:pPr>
              <w:jc w:val="center"/>
            </w:pPr>
            <w:r>
              <w:rPr>
                <w:rFonts w:hint="eastAsia"/>
              </w:rPr>
              <w:t>OPC</w:t>
            </w:r>
          </w:p>
        </w:tc>
        <w:tc>
          <w:tcPr>
            <w:tcW w:w="1419" w:type="dxa"/>
            <w:tcBorders>
              <w:top w:val="double" w:sz="4" w:space="0" w:color="auto"/>
              <w:left w:val="nil"/>
              <w:bottom w:val="double" w:sz="4" w:space="0" w:color="auto"/>
              <w:right w:val="nil"/>
            </w:tcBorders>
          </w:tcPr>
          <w:p w14:paraId="026766AD" w14:textId="77777777" w:rsidR="00B13825" w:rsidRDefault="00B13825">
            <w:pPr>
              <w:jc w:val="center"/>
            </w:pPr>
            <w:r>
              <w:rPr>
                <w:rFonts w:hint="eastAsia"/>
              </w:rPr>
              <w:t>Slag 1</w:t>
            </w:r>
          </w:p>
        </w:tc>
        <w:tc>
          <w:tcPr>
            <w:tcW w:w="1641" w:type="dxa"/>
            <w:tcBorders>
              <w:top w:val="double" w:sz="4" w:space="0" w:color="auto"/>
              <w:left w:val="nil"/>
              <w:bottom w:val="double" w:sz="4" w:space="0" w:color="auto"/>
            </w:tcBorders>
          </w:tcPr>
          <w:p w14:paraId="53DAAABA" w14:textId="77777777" w:rsidR="00B13825" w:rsidRDefault="00B13825">
            <w:pPr>
              <w:jc w:val="center"/>
            </w:pPr>
            <w:r>
              <w:rPr>
                <w:rFonts w:hint="eastAsia"/>
              </w:rPr>
              <w:t>Slag 2</w:t>
            </w:r>
          </w:p>
        </w:tc>
      </w:tr>
      <w:tr w:rsidR="00B13825" w14:paraId="1DEEBD39" w14:textId="77777777" w:rsidTr="02DC88D8">
        <w:trPr>
          <w:jc w:val="center"/>
        </w:trPr>
        <w:tc>
          <w:tcPr>
            <w:tcW w:w="2642" w:type="dxa"/>
            <w:tcBorders>
              <w:top w:val="double" w:sz="4" w:space="0" w:color="auto"/>
              <w:right w:val="nil"/>
            </w:tcBorders>
          </w:tcPr>
          <w:p w14:paraId="20F3EF4C" w14:textId="77777777" w:rsidR="00B13825" w:rsidRDefault="00B13825">
            <w:pPr>
              <w:pStyle w:val="Heading2"/>
              <w:rPr>
                <w:b w:val="0"/>
                <w:lang w:eastAsia="ja-JP"/>
              </w:rPr>
            </w:pPr>
            <w:r>
              <w:rPr>
                <w:rFonts w:hint="eastAsia"/>
                <w:b w:val="0"/>
                <w:lang w:eastAsia="ja-JP"/>
              </w:rPr>
              <w:t xml:space="preserve">Specific </w:t>
            </w:r>
            <w:r>
              <w:rPr>
                <w:b w:val="0"/>
                <w:lang w:eastAsia="ja-JP"/>
              </w:rPr>
              <w:t>g</w:t>
            </w:r>
            <w:r>
              <w:rPr>
                <w:rFonts w:hint="eastAsia"/>
                <w:b w:val="0"/>
                <w:lang w:eastAsia="ja-JP"/>
              </w:rPr>
              <w:t>ravity</w:t>
            </w:r>
          </w:p>
        </w:tc>
        <w:tc>
          <w:tcPr>
            <w:tcW w:w="1661" w:type="dxa"/>
            <w:tcBorders>
              <w:top w:val="double" w:sz="4" w:space="0" w:color="auto"/>
              <w:left w:val="nil"/>
              <w:right w:val="nil"/>
            </w:tcBorders>
          </w:tcPr>
          <w:p w14:paraId="492FE9C9" w14:textId="77777777" w:rsidR="00B13825" w:rsidRDefault="00B13825">
            <w:pPr>
              <w:jc w:val="center"/>
            </w:pPr>
            <w:r>
              <w:rPr>
                <w:rFonts w:hint="eastAsia"/>
              </w:rPr>
              <w:t>3.16</w:t>
            </w:r>
          </w:p>
        </w:tc>
        <w:tc>
          <w:tcPr>
            <w:tcW w:w="1419" w:type="dxa"/>
            <w:tcBorders>
              <w:top w:val="double" w:sz="4" w:space="0" w:color="auto"/>
              <w:left w:val="nil"/>
              <w:right w:val="nil"/>
            </w:tcBorders>
          </w:tcPr>
          <w:p w14:paraId="4E28A02E" w14:textId="77777777" w:rsidR="00B13825" w:rsidRDefault="00B13825">
            <w:pPr>
              <w:jc w:val="center"/>
            </w:pPr>
            <w:r>
              <w:rPr>
                <w:rFonts w:hint="eastAsia"/>
              </w:rPr>
              <w:t>2.90</w:t>
            </w:r>
          </w:p>
        </w:tc>
        <w:tc>
          <w:tcPr>
            <w:tcW w:w="1641" w:type="dxa"/>
            <w:tcBorders>
              <w:top w:val="double" w:sz="4" w:space="0" w:color="auto"/>
              <w:left w:val="nil"/>
            </w:tcBorders>
          </w:tcPr>
          <w:p w14:paraId="0795EE97" w14:textId="77777777" w:rsidR="00B13825" w:rsidRDefault="00B13825">
            <w:pPr>
              <w:jc w:val="center"/>
            </w:pPr>
            <w:r>
              <w:rPr>
                <w:rFonts w:hint="eastAsia"/>
              </w:rPr>
              <w:t>2.90</w:t>
            </w:r>
          </w:p>
        </w:tc>
      </w:tr>
      <w:tr w:rsidR="00B13825" w14:paraId="696EC8FF" w14:textId="77777777" w:rsidTr="02DC88D8">
        <w:trPr>
          <w:jc w:val="center"/>
        </w:trPr>
        <w:tc>
          <w:tcPr>
            <w:tcW w:w="2642" w:type="dxa"/>
            <w:tcBorders>
              <w:right w:val="nil"/>
            </w:tcBorders>
          </w:tcPr>
          <w:p w14:paraId="6ADDE72E" w14:textId="77777777" w:rsidR="00B13825" w:rsidRDefault="00B13825">
            <w:pPr>
              <w:jc w:val="center"/>
            </w:pPr>
            <w:smartTag w:uri="urn:schemas-microsoft-com:office:smarttags" w:element="place">
              <w:smartTag w:uri="urn:schemas-microsoft-com:office:smarttags" w:element="City">
                <w:r>
                  <w:rPr>
                    <w:rFonts w:hint="eastAsia"/>
                  </w:rPr>
                  <w:t>Blaine</w:t>
                </w:r>
              </w:smartTag>
            </w:smartTag>
            <w:r>
              <w:rPr>
                <w:rFonts w:hint="eastAsia"/>
              </w:rPr>
              <w:t xml:space="preserve"> </w:t>
            </w:r>
            <w:r>
              <w:t>f</w:t>
            </w:r>
            <w:r>
              <w:rPr>
                <w:rFonts w:hint="eastAsia"/>
              </w:rPr>
              <w:t>ineness, cm</w:t>
            </w:r>
            <w:r>
              <w:rPr>
                <w:rFonts w:hint="eastAsia"/>
                <w:vertAlign w:val="superscript"/>
              </w:rPr>
              <w:t>2</w:t>
            </w:r>
            <w:r>
              <w:rPr>
                <w:rFonts w:hint="eastAsia"/>
              </w:rPr>
              <w:t>/g</w:t>
            </w:r>
          </w:p>
        </w:tc>
        <w:tc>
          <w:tcPr>
            <w:tcW w:w="1661" w:type="dxa"/>
            <w:tcBorders>
              <w:left w:val="nil"/>
              <w:right w:val="nil"/>
            </w:tcBorders>
          </w:tcPr>
          <w:p w14:paraId="5DFAC7BF" w14:textId="77777777" w:rsidR="00B13825" w:rsidRDefault="00B13825">
            <w:pPr>
              <w:jc w:val="center"/>
            </w:pPr>
            <w:r>
              <w:rPr>
                <w:rFonts w:hint="eastAsia"/>
              </w:rPr>
              <w:t>3190</w:t>
            </w:r>
          </w:p>
        </w:tc>
        <w:tc>
          <w:tcPr>
            <w:tcW w:w="1419" w:type="dxa"/>
            <w:tcBorders>
              <w:left w:val="nil"/>
              <w:right w:val="nil"/>
            </w:tcBorders>
          </w:tcPr>
          <w:p w14:paraId="78CDC3EC" w14:textId="77777777" w:rsidR="00B13825" w:rsidRDefault="00B13825">
            <w:pPr>
              <w:jc w:val="center"/>
            </w:pPr>
            <w:r>
              <w:rPr>
                <w:rFonts w:hint="eastAsia"/>
              </w:rPr>
              <w:t>7900</w:t>
            </w:r>
          </w:p>
        </w:tc>
        <w:tc>
          <w:tcPr>
            <w:tcW w:w="1641" w:type="dxa"/>
            <w:tcBorders>
              <w:left w:val="nil"/>
            </w:tcBorders>
          </w:tcPr>
          <w:p w14:paraId="08E23743" w14:textId="77777777" w:rsidR="00B13825" w:rsidRDefault="00B13825">
            <w:pPr>
              <w:jc w:val="center"/>
            </w:pPr>
            <w:r>
              <w:rPr>
                <w:rFonts w:hint="eastAsia"/>
              </w:rPr>
              <w:t>4080</w:t>
            </w:r>
          </w:p>
        </w:tc>
      </w:tr>
      <w:tr w:rsidR="00B13825" w14:paraId="0DECFE4A" w14:textId="77777777" w:rsidTr="02DC88D8">
        <w:trPr>
          <w:jc w:val="center"/>
        </w:trPr>
        <w:tc>
          <w:tcPr>
            <w:tcW w:w="2642" w:type="dxa"/>
            <w:tcBorders>
              <w:right w:val="nil"/>
            </w:tcBorders>
          </w:tcPr>
          <w:p w14:paraId="5A21DFA9" w14:textId="77777777" w:rsidR="00B13825" w:rsidRDefault="00B13825">
            <w:pPr>
              <w:jc w:val="center"/>
            </w:pPr>
            <w:r>
              <w:rPr>
                <w:rFonts w:hint="eastAsia"/>
              </w:rPr>
              <w:t xml:space="preserve">Loss of </w:t>
            </w:r>
            <w:r>
              <w:t>i</w:t>
            </w:r>
            <w:r>
              <w:rPr>
                <w:rFonts w:hint="eastAsia"/>
              </w:rPr>
              <w:t>gnition, %</w:t>
            </w:r>
          </w:p>
        </w:tc>
        <w:tc>
          <w:tcPr>
            <w:tcW w:w="1661" w:type="dxa"/>
            <w:tcBorders>
              <w:left w:val="nil"/>
              <w:right w:val="nil"/>
            </w:tcBorders>
          </w:tcPr>
          <w:p w14:paraId="608E4E5A" w14:textId="77777777" w:rsidR="00B13825" w:rsidRDefault="00B13825">
            <w:pPr>
              <w:jc w:val="center"/>
            </w:pPr>
            <w:r>
              <w:rPr>
                <w:rFonts w:hint="eastAsia"/>
              </w:rPr>
              <w:t>0.7</w:t>
            </w:r>
          </w:p>
        </w:tc>
        <w:tc>
          <w:tcPr>
            <w:tcW w:w="1419" w:type="dxa"/>
            <w:tcBorders>
              <w:left w:val="nil"/>
              <w:right w:val="nil"/>
            </w:tcBorders>
          </w:tcPr>
          <w:p w14:paraId="4E60CB7B" w14:textId="52ACE292" w:rsidR="00B13825" w:rsidRDefault="5798640B" w:rsidP="02DC88D8">
            <w:pPr>
              <w:jc w:val="center"/>
              <w:rPr>
                <w:b/>
                <w:bCs/>
              </w:rPr>
            </w:pPr>
            <w:r w:rsidRPr="02DC88D8">
              <w:rPr>
                <w:rFonts w:eastAsia="Times New Roman"/>
              </w:rPr>
              <w:t>—</w:t>
            </w:r>
          </w:p>
        </w:tc>
        <w:tc>
          <w:tcPr>
            <w:tcW w:w="1641" w:type="dxa"/>
            <w:tcBorders>
              <w:left w:val="nil"/>
            </w:tcBorders>
          </w:tcPr>
          <w:p w14:paraId="726B0007" w14:textId="186B0101" w:rsidR="00B13825" w:rsidRDefault="26FE621D" w:rsidP="02DC88D8">
            <w:pPr>
              <w:jc w:val="center"/>
              <w:rPr>
                <w:rFonts w:eastAsia="Times New Roman"/>
              </w:rPr>
            </w:pPr>
            <w:r w:rsidRPr="02DC88D8">
              <w:rPr>
                <w:rFonts w:eastAsia="Times New Roman"/>
              </w:rPr>
              <w:t>—</w:t>
            </w:r>
          </w:p>
        </w:tc>
      </w:tr>
      <w:tr w:rsidR="00B13825" w14:paraId="7828439F" w14:textId="77777777" w:rsidTr="02DC88D8">
        <w:trPr>
          <w:jc w:val="center"/>
        </w:trPr>
        <w:tc>
          <w:tcPr>
            <w:tcW w:w="2642" w:type="dxa"/>
            <w:tcBorders>
              <w:right w:val="nil"/>
            </w:tcBorders>
          </w:tcPr>
          <w:p w14:paraId="57E4062B" w14:textId="77777777" w:rsidR="00B13825" w:rsidRDefault="00B13825">
            <w:pPr>
              <w:jc w:val="center"/>
            </w:pPr>
            <w:r>
              <w:rPr>
                <w:rFonts w:hint="eastAsia"/>
              </w:rPr>
              <w:t>SiO</w:t>
            </w:r>
            <w:r>
              <w:rPr>
                <w:rFonts w:hint="eastAsia"/>
                <w:vertAlign w:val="subscript"/>
              </w:rPr>
              <w:t>2</w:t>
            </w:r>
            <w:r>
              <w:rPr>
                <w:rFonts w:hint="eastAsia"/>
              </w:rPr>
              <w:t>, %</w:t>
            </w:r>
          </w:p>
        </w:tc>
        <w:tc>
          <w:tcPr>
            <w:tcW w:w="1661" w:type="dxa"/>
            <w:tcBorders>
              <w:left w:val="nil"/>
              <w:right w:val="nil"/>
            </w:tcBorders>
          </w:tcPr>
          <w:p w14:paraId="61CD7CAE" w14:textId="77777777" w:rsidR="00B13825" w:rsidRDefault="00B13825">
            <w:pPr>
              <w:jc w:val="center"/>
            </w:pPr>
            <w:r>
              <w:rPr>
                <w:rFonts w:hint="eastAsia"/>
              </w:rPr>
              <w:t>21.3</w:t>
            </w:r>
          </w:p>
        </w:tc>
        <w:tc>
          <w:tcPr>
            <w:tcW w:w="1419" w:type="dxa"/>
            <w:tcBorders>
              <w:left w:val="nil"/>
              <w:right w:val="nil"/>
            </w:tcBorders>
          </w:tcPr>
          <w:p w14:paraId="23350FFB" w14:textId="77777777" w:rsidR="00B13825" w:rsidRDefault="00B13825">
            <w:pPr>
              <w:jc w:val="center"/>
            </w:pPr>
            <w:r>
              <w:rPr>
                <w:rFonts w:hint="eastAsia"/>
              </w:rPr>
              <w:t>32.7</w:t>
            </w:r>
          </w:p>
        </w:tc>
        <w:tc>
          <w:tcPr>
            <w:tcW w:w="1641" w:type="dxa"/>
            <w:tcBorders>
              <w:left w:val="nil"/>
            </w:tcBorders>
          </w:tcPr>
          <w:p w14:paraId="45B2D1D2" w14:textId="77777777" w:rsidR="00B13825" w:rsidRDefault="00B13825">
            <w:pPr>
              <w:jc w:val="center"/>
            </w:pPr>
            <w:r>
              <w:rPr>
                <w:rFonts w:hint="eastAsia"/>
              </w:rPr>
              <w:t>33.2</w:t>
            </w:r>
          </w:p>
        </w:tc>
      </w:tr>
      <w:tr w:rsidR="00B13825" w14:paraId="70FEB129" w14:textId="77777777" w:rsidTr="02DC88D8">
        <w:trPr>
          <w:jc w:val="center"/>
        </w:trPr>
        <w:tc>
          <w:tcPr>
            <w:tcW w:w="2642" w:type="dxa"/>
            <w:tcBorders>
              <w:right w:val="nil"/>
            </w:tcBorders>
          </w:tcPr>
          <w:p w14:paraId="3BB71EE7" w14:textId="77777777" w:rsidR="00B13825" w:rsidRDefault="00B13825">
            <w:pPr>
              <w:jc w:val="center"/>
            </w:pPr>
            <w:r>
              <w:rPr>
                <w:rFonts w:hint="eastAsia"/>
              </w:rPr>
              <w:t>Al</w:t>
            </w:r>
            <w:r>
              <w:rPr>
                <w:rFonts w:hint="eastAsia"/>
                <w:vertAlign w:val="subscript"/>
              </w:rPr>
              <w:t>2</w:t>
            </w:r>
            <w:r>
              <w:rPr>
                <w:rFonts w:hint="eastAsia"/>
              </w:rPr>
              <w:t>O</w:t>
            </w:r>
            <w:r>
              <w:rPr>
                <w:rFonts w:hint="eastAsia"/>
                <w:vertAlign w:val="subscript"/>
              </w:rPr>
              <w:t>3</w:t>
            </w:r>
            <w:r>
              <w:rPr>
                <w:rFonts w:hint="eastAsia"/>
              </w:rPr>
              <w:t>, %</w:t>
            </w:r>
          </w:p>
        </w:tc>
        <w:tc>
          <w:tcPr>
            <w:tcW w:w="1661" w:type="dxa"/>
            <w:tcBorders>
              <w:left w:val="nil"/>
              <w:right w:val="nil"/>
            </w:tcBorders>
          </w:tcPr>
          <w:p w14:paraId="7B294C5F" w14:textId="77777777" w:rsidR="00B13825" w:rsidRDefault="00B13825">
            <w:pPr>
              <w:jc w:val="center"/>
            </w:pPr>
            <w:r>
              <w:rPr>
                <w:rFonts w:hint="eastAsia"/>
              </w:rPr>
              <w:t>5.3</w:t>
            </w:r>
          </w:p>
        </w:tc>
        <w:tc>
          <w:tcPr>
            <w:tcW w:w="1419" w:type="dxa"/>
            <w:tcBorders>
              <w:left w:val="nil"/>
              <w:right w:val="nil"/>
            </w:tcBorders>
          </w:tcPr>
          <w:p w14:paraId="7A63CB26" w14:textId="77777777" w:rsidR="00B13825" w:rsidRDefault="00B13825">
            <w:pPr>
              <w:jc w:val="center"/>
            </w:pPr>
            <w:r>
              <w:rPr>
                <w:rFonts w:hint="eastAsia"/>
              </w:rPr>
              <w:t>13.8</w:t>
            </w:r>
          </w:p>
        </w:tc>
        <w:tc>
          <w:tcPr>
            <w:tcW w:w="1641" w:type="dxa"/>
            <w:tcBorders>
              <w:left w:val="nil"/>
            </w:tcBorders>
          </w:tcPr>
          <w:p w14:paraId="61756DB5" w14:textId="77777777" w:rsidR="00B13825" w:rsidRDefault="00B13825">
            <w:pPr>
              <w:jc w:val="center"/>
            </w:pPr>
            <w:r>
              <w:rPr>
                <w:rFonts w:hint="eastAsia"/>
              </w:rPr>
              <w:t>14.1</w:t>
            </w:r>
          </w:p>
        </w:tc>
      </w:tr>
      <w:tr w:rsidR="00B13825" w14:paraId="7FDAF7D8" w14:textId="77777777" w:rsidTr="02DC88D8">
        <w:trPr>
          <w:jc w:val="center"/>
        </w:trPr>
        <w:tc>
          <w:tcPr>
            <w:tcW w:w="2642" w:type="dxa"/>
            <w:tcBorders>
              <w:right w:val="nil"/>
            </w:tcBorders>
          </w:tcPr>
          <w:p w14:paraId="75DF6E1F" w14:textId="77777777" w:rsidR="00B13825" w:rsidRDefault="00B13825">
            <w:pPr>
              <w:jc w:val="center"/>
            </w:pPr>
            <w:proofErr w:type="spellStart"/>
            <w:r>
              <w:rPr>
                <w:rFonts w:hint="eastAsia"/>
              </w:rPr>
              <w:t>CaO</w:t>
            </w:r>
            <w:proofErr w:type="spellEnd"/>
            <w:r>
              <w:rPr>
                <w:rFonts w:hint="eastAsia"/>
              </w:rPr>
              <w:t>, %</w:t>
            </w:r>
          </w:p>
        </w:tc>
        <w:tc>
          <w:tcPr>
            <w:tcW w:w="1661" w:type="dxa"/>
            <w:tcBorders>
              <w:left w:val="nil"/>
              <w:right w:val="nil"/>
            </w:tcBorders>
          </w:tcPr>
          <w:p w14:paraId="1790A1C3" w14:textId="77777777" w:rsidR="00B13825" w:rsidRDefault="00B13825">
            <w:pPr>
              <w:jc w:val="center"/>
            </w:pPr>
            <w:r>
              <w:rPr>
                <w:rFonts w:hint="eastAsia"/>
              </w:rPr>
              <w:t>64.4</w:t>
            </w:r>
          </w:p>
        </w:tc>
        <w:tc>
          <w:tcPr>
            <w:tcW w:w="1419" w:type="dxa"/>
            <w:tcBorders>
              <w:left w:val="nil"/>
              <w:right w:val="nil"/>
            </w:tcBorders>
          </w:tcPr>
          <w:p w14:paraId="229A6B1E" w14:textId="77777777" w:rsidR="00B13825" w:rsidRDefault="00B13825">
            <w:pPr>
              <w:jc w:val="center"/>
            </w:pPr>
            <w:r>
              <w:rPr>
                <w:rFonts w:hint="eastAsia"/>
              </w:rPr>
              <w:t>42.4</w:t>
            </w:r>
          </w:p>
        </w:tc>
        <w:tc>
          <w:tcPr>
            <w:tcW w:w="1641" w:type="dxa"/>
            <w:tcBorders>
              <w:left w:val="nil"/>
            </w:tcBorders>
          </w:tcPr>
          <w:p w14:paraId="190C16FF" w14:textId="77777777" w:rsidR="00B13825" w:rsidRDefault="00B13825">
            <w:pPr>
              <w:jc w:val="center"/>
            </w:pPr>
            <w:r>
              <w:rPr>
                <w:rFonts w:hint="eastAsia"/>
              </w:rPr>
              <w:t>42.3</w:t>
            </w:r>
          </w:p>
        </w:tc>
      </w:tr>
      <w:tr w:rsidR="00B13825" w14:paraId="02130635" w14:textId="77777777" w:rsidTr="02DC88D8">
        <w:trPr>
          <w:jc w:val="center"/>
        </w:trPr>
        <w:tc>
          <w:tcPr>
            <w:tcW w:w="2642" w:type="dxa"/>
            <w:tcBorders>
              <w:right w:val="nil"/>
            </w:tcBorders>
          </w:tcPr>
          <w:p w14:paraId="0E63170D" w14:textId="77777777" w:rsidR="00B13825" w:rsidRDefault="00B13825">
            <w:pPr>
              <w:jc w:val="center"/>
            </w:pPr>
            <w:r>
              <w:rPr>
                <w:rFonts w:hint="eastAsia"/>
              </w:rPr>
              <w:t>MgO, %</w:t>
            </w:r>
          </w:p>
        </w:tc>
        <w:tc>
          <w:tcPr>
            <w:tcW w:w="1661" w:type="dxa"/>
            <w:tcBorders>
              <w:left w:val="nil"/>
              <w:right w:val="nil"/>
            </w:tcBorders>
          </w:tcPr>
          <w:p w14:paraId="0A7811B0" w14:textId="77777777" w:rsidR="00B13825" w:rsidRDefault="00B13825">
            <w:pPr>
              <w:jc w:val="center"/>
            </w:pPr>
            <w:r>
              <w:rPr>
                <w:rFonts w:hint="eastAsia"/>
              </w:rPr>
              <w:t>2.2</w:t>
            </w:r>
          </w:p>
        </w:tc>
        <w:tc>
          <w:tcPr>
            <w:tcW w:w="1419" w:type="dxa"/>
            <w:tcBorders>
              <w:left w:val="nil"/>
              <w:right w:val="nil"/>
            </w:tcBorders>
          </w:tcPr>
          <w:p w14:paraId="3B4B36C0" w14:textId="77777777" w:rsidR="00B13825" w:rsidRDefault="00B13825">
            <w:pPr>
              <w:jc w:val="center"/>
            </w:pPr>
            <w:r>
              <w:rPr>
                <w:rFonts w:hint="eastAsia"/>
              </w:rPr>
              <w:t>5.9</w:t>
            </w:r>
          </w:p>
        </w:tc>
        <w:tc>
          <w:tcPr>
            <w:tcW w:w="1641" w:type="dxa"/>
            <w:tcBorders>
              <w:left w:val="nil"/>
            </w:tcBorders>
          </w:tcPr>
          <w:p w14:paraId="4F8024DD" w14:textId="77777777" w:rsidR="00B13825" w:rsidRDefault="00B13825">
            <w:pPr>
              <w:jc w:val="center"/>
            </w:pPr>
            <w:r>
              <w:rPr>
                <w:rFonts w:hint="eastAsia"/>
              </w:rPr>
              <w:t>5.9</w:t>
            </w:r>
          </w:p>
        </w:tc>
      </w:tr>
      <w:tr w:rsidR="00B13825" w14:paraId="0A880575" w14:textId="77777777" w:rsidTr="02DC88D8">
        <w:trPr>
          <w:jc w:val="center"/>
        </w:trPr>
        <w:tc>
          <w:tcPr>
            <w:tcW w:w="2642" w:type="dxa"/>
            <w:tcBorders>
              <w:right w:val="nil"/>
            </w:tcBorders>
          </w:tcPr>
          <w:p w14:paraId="2EE1E384" w14:textId="77777777" w:rsidR="00B13825" w:rsidRDefault="00B13825">
            <w:pPr>
              <w:jc w:val="center"/>
            </w:pPr>
            <w:r>
              <w:rPr>
                <w:rFonts w:hint="eastAsia"/>
              </w:rPr>
              <w:t>SO</w:t>
            </w:r>
            <w:r>
              <w:rPr>
                <w:rFonts w:hint="eastAsia"/>
                <w:vertAlign w:val="subscript"/>
              </w:rPr>
              <w:t>3</w:t>
            </w:r>
            <w:r>
              <w:rPr>
                <w:rFonts w:hint="eastAsia"/>
              </w:rPr>
              <w:t>, %</w:t>
            </w:r>
          </w:p>
        </w:tc>
        <w:tc>
          <w:tcPr>
            <w:tcW w:w="1661" w:type="dxa"/>
            <w:tcBorders>
              <w:left w:val="nil"/>
              <w:right w:val="nil"/>
            </w:tcBorders>
          </w:tcPr>
          <w:p w14:paraId="2AE204A4" w14:textId="77777777" w:rsidR="00B13825" w:rsidRDefault="00B13825">
            <w:pPr>
              <w:jc w:val="center"/>
            </w:pPr>
            <w:r>
              <w:rPr>
                <w:rFonts w:hint="eastAsia"/>
              </w:rPr>
              <w:t>1.9</w:t>
            </w:r>
          </w:p>
        </w:tc>
        <w:tc>
          <w:tcPr>
            <w:tcW w:w="1419" w:type="dxa"/>
            <w:tcBorders>
              <w:left w:val="nil"/>
              <w:right w:val="nil"/>
            </w:tcBorders>
          </w:tcPr>
          <w:p w14:paraId="3BD8CF36" w14:textId="77777777" w:rsidR="00B13825" w:rsidRDefault="00B13825">
            <w:pPr>
              <w:jc w:val="center"/>
            </w:pPr>
            <w:r>
              <w:rPr>
                <w:rFonts w:hint="eastAsia"/>
              </w:rPr>
              <w:t>2.0</w:t>
            </w:r>
          </w:p>
        </w:tc>
        <w:tc>
          <w:tcPr>
            <w:tcW w:w="1641" w:type="dxa"/>
            <w:tcBorders>
              <w:left w:val="nil"/>
            </w:tcBorders>
          </w:tcPr>
          <w:p w14:paraId="079216F9" w14:textId="77777777" w:rsidR="00B13825" w:rsidRDefault="00B13825">
            <w:pPr>
              <w:jc w:val="center"/>
            </w:pPr>
            <w:r>
              <w:rPr>
                <w:rFonts w:hint="eastAsia"/>
              </w:rPr>
              <w:t>2.0</w:t>
            </w:r>
          </w:p>
        </w:tc>
      </w:tr>
      <w:tr w:rsidR="00B13825" w14:paraId="48E98BDE" w14:textId="77777777" w:rsidTr="02DC88D8">
        <w:trPr>
          <w:jc w:val="center"/>
        </w:trPr>
        <w:tc>
          <w:tcPr>
            <w:tcW w:w="2642" w:type="dxa"/>
            <w:tcBorders>
              <w:right w:val="nil"/>
            </w:tcBorders>
          </w:tcPr>
          <w:p w14:paraId="1F46196C" w14:textId="77777777" w:rsidR="00B13825" w:rsidRDefault="00B13825">
            <w:pPr>
              <w:jc w:val="center"/>
            </w:pPr>
            <w:r>
              <w:rPr>
                <w:rFonts w:hint="eastAsia"/>
              </w:rPr>
              <w:t>Na</w:t>
            </w:r>
            <w:r>
              <w:rPr>
                <w:rFonts w:hint="eastAsia"/>
                <w:vertAlign w:val="subscript"/>
              </w:rPr>
              <w:t>2</w:t>
            </w:r>
            <w:r>
              <w:rPr>
                <w:rFonts w:hint="eastAsia"/>
              </w:rPr>
              <w:t>O, %</w:t>
            </w:r>
          </w:p>
        </w:tc>
        <w:tc>
          <w:tcPr>
            <w:tcW w:w="1661" w:type="dxa"/>
            <w:tcBorders>
              <w:left w:val="nil"/>
              <w:right w:val="nil"/>
            </w:tcBorders>
          </w:tcPr>
          <w:p w14:paraId="5F49F563" w14:textId="77777777" w:rsidR="00B13825" w:rsidRDefault="00B13825">
            <w:pPr>
              <w:jc w:val="center"/>
            </w:pPr>
            <w:r>
              <w:rPr>
                <w:rFonts w:hint="eastAsia"/>
              </w:rPr>
              <w:t>0.28</w:t>
            </w:r>
          </w:p>
        </w:tc>
        <w:tc>
          <w:tcPr>
            <w:tcW w:w="1419" w:type="dxa"/>
            <w:tcBorders>
              <w:left w:val="nil"/>
              <w:right w:val="nil"/>
            </w:tcBorders>
          </w:tcPr>
          <w:p w14:paraId="3357B6CD" w14:textId="5C123EB5" w:rsidR="00B13825" w:rsidRDefault="53BE2FF6" w:rsidP="02DC88D8">
            <w:pPr>
              <w:jc w:val="center"/>
              <w:rPr>
                <w:rFonts w:eastAsia="Times New Roman"/>
              </w:rPr>
            </w:pPr>
            <w:r w:rsidRPr="02DC88D8">
              <w:rPr>
                <w:rFonts w:eastAsia="Times New Roman"/>
              </w:rPr>
              <w:t>—</w:t>
            </w:r>
          </w:p>
        </w:tc>
        <w:tc>
          <w:tcPr>
            <w:tcW w:w="1641" w:type="dxa"/>
            <w:tcBorders>
              <w:left w:val="nil"/>
            </w:tcBorders>
          </w:tcPr>
          <w:p w14:paraId="470C9629" w14:textId="42FC7A33" w:rsidR="00B13825" w:rsidRDefault="23F9A9EA" w:rsidP="02DC88D8">
            <w:pPr>
              <w:jc w:val="center"/>
              <w:rPr>
                <w:rFonts w:eastAsia="Times New Roman"/>
              </w:rPr>
            </w:pPr>
            <w:r w:rsidRPr="02DC88D8">
              <w:rPr>
                <w:rFonts w:eastAsia="Times New Roman"/>
              </w:rPr>
              <w:t>—</w:t>
            </w:r>
          </w:p>
        </w:tc>
      </w:tr>
      <w:tr w:rsidR="00B13825" w14:paraId="79974A26" w14:textId="77777777" w:rsidTr="02DC88D8">
        <w:trPr>
          <w:jc w:val="center"/>
        </w:trPr>
        <w:tc>
          <w:tcPr>
            <w:tcW w:w="2642" w:type="dxa"/>
            <w:tcBorders>
              <w:right w:val="nil"/>
            </w:tcBorders>
          </w:tcPr>
          <w:p w14:paraId="42A7AFD8" w14:textId="77777777" w:rsidR="00B13825" w:rsidRDefault="00B13825">
            <w:pPr>
              <w:jc w:val="center"/>
            </w:pPr>
            <w:r>
              <w:rPr>
                <w:rFonts w:hint="eastAsia"/>
              </w:rPr>
              <w:t>K</w:t>
            </w:r>
            <w:r>
              <w:rPr>
                <w:rFonts w:hint="eastAsia"/>
                <w:vertAlign w:val="subscript"/>
              </w:rPr>
              <w:t>2</w:t>
            </w:r>
            <w:r>
              <w:rPr>
                <w:rFonts w:hint="eastAsia"/>
              </w:rPr>
              <w:t>O, %</w:t>
            </w:r>
          </w:p>
        </w:tc>
        <w:tc>
          <w:tcPr>
            <w:tcW w:w="1661" w:type="dxa"/>
            <w:tcBorders>
              <w:left w:val="nil"/>
              <w:right w:val="nil"/>
            </w:tcBorders>
          </w:tcPr>
          <w:p w14:paraId="3611D666" w14:textId="77777777" w:rsidR="00B13825" w:rsidRDefault="00B13825">
            <w:pPr>
              <w:jc w:val="center"/>
            </w:pPr>
            <w:r>
              <w:rPr>
                <w:rFonts w:hint="eastAsia"/>
              </w:rPr>
              <w:t>0.6</w:t>
            </w:r>
          </w:p>
        </w:tc>
        <w:tc>
          <w:tcPr>
            <w:tcW w:w="1419" w:type="dxa"/>
            <w:tcBorders>
              <w:left w:val="nil"/>
              <w:right w:val="nil"/>
            </w:tcBorders>
          </w:tcPr>
          <w:p w14:paraId="655AD43B" w14:textId="6AE8C533" w:rsidR="00B13825" w:rsidRDefault="67E5A89B" w:rsidP="02DC88D8">
            <w:pPr>
              <w:jc w:val="center"/>
              <w:rPr>
                <w:rFonts w:eastAsia="Times New Roman"/>
              </w:rPr>
            </w:pPr>
            <w:r w:rsidRPr="02DC88D8">
              <w:rPr>
                <w:rFonts w:eastAsia="Times New Roman"/>
              </w:rPr>
              <w:t>—</w:t>
            </w:r>
          </w:p>
        </w:tc>
        <w:tc>
          <w:tcPr>
            <w:tcW w:w="1641" w:type="dxa"/>
            <w:tcBorders>
              <w:left w:val="nil"/>
            </w:tcBorders>
          </w:tcPr>
          <w:p w14:paraId="688CB8B8" w14:textId="7EE22B16" w:rsidR="00B13825" w:rsidRDefault="3CB06C8A" w:rsidP="02DC88D8">
            <w:pPr>
              <w:jc w:val="center"/>
              <w:rPr>
                <w:rFonts w:eastAsia="Times New Roman"/>
              </w:rPr>
            </w:pPr>
            <w:r w:rsidRPr="02DC88D8">
              <w:rPr>
                <w:rFonts w:eastAsia="Times New Roman"/>
              </w:rPr>
              <w:t>—</w:t>
            </w:r>
          </w:p>
        </w:tc>
      </w:tr>
      <w:tr w:rsidR="00B13825" w14:paraId="4B3E7364" w14:textId="77777777" w:rsidTr="02DC88D8">
        <w:trPr>
          <w:jc w:val="center"/>
        </w:trPr>
        <w:tc>
          <w:tcPr>
            <w:tcW w:w="2642" w:type="dxa"/>
            <w:tcBorders>
              <w:right w:val="nil"/>
            </w:tcBorders>
          </w:tcPr>
          <w:p w14:paraId="3C0495CE" w14:textId="77777777" w:rsidR="00B13825" w:rsidRDefault="00B13825">
            <w:pPr>
              <w:jc w:val="center"/>
            </w:pPr>
            <w:r>
              <w:rPr>
                <w:rFonts w:hint="eastAsia"/>
              </w:rPr>
              <w:t>TiO</w:t>
            </w:r>
            <w:r>
              <w:rPr>
                <w:rFonts w:hint="eastAsia"/>
                <w:vertAlign w:val="subscript"/>
              </w:rPr>
              <w:t>2</w:t>
            </w:r>
            <w:r>
              <w:rPr>
                <w:rFonts w:hint="eastAsia"/>
              </w:rPr>
              <w:t>, %</w:t>
            </w:r>
          </w:p>
        </w:tc>
        <w:tc>
          <w:tcPr>
            <w:tcW w:w="1661" w:type="dxa"/>
            <w:tcBorders>
              <w:left w:val="nil"/>
              <w:right w:val="nil"/>
            </w:tcBorders>
          </w:tcPr>
          <w:p w14:paraId="16F3DF5F" w14:textId="77777777" w:rsidR="00B13825" w:rsidRDefault="00B13825">
            <w:pPr>
              <w:jc w:val="center"/>
            </w:pPr>
            <w:r>
              <w:rPr>
                <w:rFonts w:hint="eastAsia"/>
              </w:rPr>
              <w:t>0.37</w:t>
            </w:r>
          </w:p>
        </w:tc>
        <w:tc>
          <w:tcPr>
            <w:tcW w:w="1419" w:type="dxa"/>
            <w:tcBorders>
              <w:left w:val="nil"/>
              <w:right w:val="nil"/>
            </w:tcBorders>
          </w:tcPr>
          <w:p w14:paraId="24CD09B1" w14:textId="459BEB0B" w:rsidR="00B13825" w:rsidRDefault="796A8AB2" w:rsidP="02DC88D8">
            <w:pPr>
              <w:jc w:val="center"/>
              <w:rPr>
                <w:rFonts w:eastAsia="Times New Roman"/>
              </w:rPr>
            </w:pPr>
            <w:r w:rsidRPr="02DC88D8">
              <w:rPr>
                <w:rFonts w:eastAsia="Times New Roman"/>
              </w:rPr>
              <w:t>—</w:t>
            </w:r>
          </w:p>
        </w:tc>
        <w:tc>
          <w:tcPr>
            <w:tcW w:w="1641" w:type="dxa"/>
            <w:tcBorders>
              <w:left w:val="nil"/>
            </w:tcBorders>
          </w:tcPr>
          <w:p w14:paraId="68F99E65" w14:textId="0994EF2C" w:rsidR="00B13825" w:rsidRDefault="53127FBA" w:rsidP="02DC88D8">
            <w:pPr>
              <w:jc w:val="center"/>
              <w:rPr>
                <w:rFonts w:eastAsia="Times New Roman"/>
              </w:rPr>
            </w:pPr>
            <w:r w:rsidRPr="02DC88D8">
              <w:rPr>
                <w:rFonts w:eastAsia="Times New Roman"/>
              </w:rPr>
              <w:t>—</w:t>
            </w:r>
          </w:p>
        </w:tc>
      </w:tr>
      <w:tr w:rsidR="00B13825" w14:paraId="78C9DADB" w14:textId="77777777" w:rsidTr="02DC88D8">
        <w:trPr>
          <w:jc w:val="center"/>
        </w:trPr>
        <w:tc>
          <w:tcPr>
            <w:tcW w:w="2642" w:type="dxa"/>
            <w:tcBorders>
              <w:right w:val="nil"/>
            </w:tcBorders>
          </w:tcPr>
          <w:p w14:paraId="35DD8FFB" w14:textId="77777777" w:rsidR="00B13825" w:rsidRDefault="00B13825">
            <w:pPr>
              <w:jc w:val="center"/>
            </w:pPr>
            <w:proofErr w:type="spellStart"/>
            <w:r>
              <w:rPr>
                <w:rFonts w:hint="eastAsia"/>
              </w:rPr>
              <w:t>MnO</w:t>
            </w:r>
            <w:proofErr w:type="spellEnd"/>
            <w:r>
              <w:rPr>
                <w:rFonts w:hint="eastAsia"/>
              </w:rPr>
              <w:t>, %</w:t>
            </w:r>
          </w:p>
        </w:tc>
        <w:tc>
          <w:tcPr>
            <w:tcW w:w="1661" w:type="dxa"/>
            <w:tcBorders>
              <w:left w:val="nil"/>
              <w:right w:val="nil"/>
            </w:tcBorders>
          </w:tcPr>
          <w:p w14:paraId="0FE9630F" w14:textId="77777777" w:rsidR="00B13825" w:rsidRDefault="00B13825">
            <w:pPr>
              <w:jc w:val="center"/>
            </w:pPr>
            <w:r>
              <w:rPr>
                <w:rFonts w:hint="eastAsia"/>
              </w:rPr>
              <w:t>0.1</w:t>
            </w:r>
          </w:p>
        </w:tc>
        <w:tc>
          <w:tcPr>
            <w:tcW w:w="1419" w:type="dxa"/>
            <w:tcBorders>
              <w:left w:val="nil"/>
              <w:right w:val="nil"/>
            </w:tcBorders>
          </w:tcPr>
          <w:p w14:paraId="0789E5E2" w14:textId="31A82D39" w:rsidR="00B13825" w:rsidRDefault="07DDB8D0" w:rsidP="02DC88D8">
            <w:pPr>
              <w:jc w:val="center"/>
              <w:rPr>
                <w:rFonts w:eastAsia="Times New Roman"/>
              </w:rPr>
            </w:pPr>
            <w:r w:rsidRPr="02DC88D8">
              <w:rPr>
                <w:rFonts w:eastAsia="Times New Roman"/>
              </w:rPr>
              <w:t>—</w:t>
            </w:r>
          </w:p>
        </w:tc>
        <w:tc>
          <w:tcPr>
            <w:tcW w:w="1641" w:type="dxa"/>
            <w:tcBorders>
              <w:left w:val="nil"/>
            </w:tcBorders>
          </w:tcPr>
          <w:p w14:paraId="5044C1C1" w14:textId="1BDBAD10" w:rsidR="00B13825" w:rsidRDefault="2C96D214" w:rsidP="02DC88D8">
            <w:pPr>
              <w:jc w:val="center"/>
              <w:rPr>
                <w:rFonts w:eastAsia="Times New Roman"/>
              </w:rPr>
            </w:pPr>
            <w:r w:rsidRPr="02DC88D8">
              <w:rPr>
                <w:rFonts w:eastAsia="Times New Roman"/>
              </w:rPr>
              <w:t>—</w:t>
            </w:r>
          </w:p>
        </w:tc>
      </w:tr>
      <w:tr w:rsidR="00B13825" w14:paraId="1281114D" w14:textId="77777777" w:rsidTr="02DC88D8">
        <w:trPr>
          <w:jc w:val="center"/>
        </w:trPr>
        <w:tc>
          <w:tcPr>
            <w:tcW w:w="2642" w:type="dxa"/>
            <w:tcBorders>
              <w:right w:val="nil"/>
            </w:tcBorders>
          </w:tcPr>
          <w:p w14:paraId="72DE0A47" w14:textId="77777777" w:rsidR="00B13825" w:rsidRDefault="00B13825">
            <w:pPr>
              <w:jc w:val="center"/>
            </w:pPr>
            <w:r>
              <w:rPr>
                <w:rFonts w:hint="eastAsia"/>
              </w:rPr>
              <w:t>Fe</w:t>
            </w:r>
            <w:r>
              <w:rPr>
                <w:rFonts w:hint="eastAsia"/>
                <w:vertAlign w:val="subscript"/>
              </w:rPr>
              <w:t>2</w:t>
            </w:r>
            <w:r>
              <w:rPr>
                <w:rFonts w:hint="eastAsia"/>
              </w:rPr>
              <w:t>O</w:t>
            </w:r>
            <w:r>
              <w:rPr>
                <w:rFonts w:hint="eastAsia"/>
                <w:vertAlign w:val="subscript"/>
              </w:rPr>
              <w:t>3</w:t>
            </w:r>
            <w:r>
              <w:rPr>
                <w:rFonts w:hint="eastAsia"/>
              </w:rPr>
              <w:t>, %</w:t>
            </w:r>
          </w:p>
        </w:tc>
        <w:tc>
          <w:tcPr>
            <w:tcW w:w="1661" w:type="dxa"/>
            <w:tcBorders>
              <w:left w:val="nil"/>
              <w:right w:val="nil"/>
            </w:tcBorders>
          </w:tcPr>
          <w:p w14:paraId="4B3D3669" w14:textId="77777777" w:rsidR="00B13825" w:rsidRDefault="00B13825">
            <w:pPr>
              <w:jc w:val="center"/>
            </w:pPr>
            <w:r>
              <w:rPr>
                <w:rFonts w:hint="eastAsia"/>
              </w:rPr>
              <w:t>2.6</w:t>
            </w:r>
          </w:p>
        </w:tc>
        <w:tc>
          <w:tcPr>
            <w:tcW w:w="1419" w:type="dxa"/>
            <w:tcBorders>
              <w:left w:val="nil"/>
              <w:right w:val="nil"/>
            </w:tcBorders>
          </w:tcPr>
          <w:p w14:paraId="065D344A" w14:textId="77777777" w:rsidR="00B13825" w:rsidRDefault="00B13825">
            <w:pPr>
              <w:jc w:val="center"/>
            </w:pPr>
            <w:r>
              <w:rPr>
                <w:rFonts w:hint="eastAsia"/>
              </w:rPr>
              <w:t>0.2</w:t>
            </w:r>
          </w:p>
        </w:tc>
        <w:tc>
          <w:tcPr>
            <w:tcW w:w="1641" w:type="dxa"/>
            <w:tcBorders>
              <w:left w:val="nil"/>
            </w:tcBorders>
          </w:tcPr>
          <w:p w14:paraId="40AB9BB4" w14:textId="77777777" w:rsidR="00B13825" w:rsidRDefault="00B13825">
            <w:pPr>
              <w:jc w:val="center"/>
            </w:pPr>
            <w:r>
              <w:rPr>
                <w:rFonts w:hint="eastAsia"/>
              </w:rPr>
              <w:t>0.2</w:t>
            </w:r>
          </w:p>
        </w:tc>
      </w:tr>
    </w:tbl>
    <w:p w14:paraId="0A5980E9" w14:textId="1B786E27" w:rsidR="00B13825" w:rsidRDefault="0098753A" w:rsidP="00223ABC">
      <w:pPr>
        <w:spacing w:line="480" w:lineRule="auto"/>
        <w:ind w:left="360"/>
      </w:pPr>
      <w:r w:rsidRPr="0098753A">
        <w:rPr>
          <w:bCs/>
        </w:rPr>
        <w:t>Note: “—” is</w:t>
      </w:r>
      <w:r w:rsidR="00B13825">
        <w:rPr>
          <w:b/>
        </w:rPr>
        <w:t xml:space="preserve"> </w:t>
      </w:r>
      <w:r w:rsidR="00B13825">
        <w:rPr>
          <w:rFonts w:hint="eastAsia"/>
        </w:rPr>
        <w:t>not measured items</w:t>
      </w:r>
      <w:r w:rsidR="00B13825">
        <w:t>.</w:t>
      </w:r>
    </w:p>
    <w:p w14:paraId="436BBC58" w14:textId="1B95DFB1" w:rsidR="00B13825" w:rsidRDefault="00B13825" w:rsidP="00C22C2F">
      <w:pPr>
        <w:tabs>
          <w:tab w:val="left" w:pos="720"/>
        </w:tabs>
        <w:spacing w:line="480" w:lineRule="auto"/>
        <w:jc w:val="center"/>
      </w:pPr>
      <w:r w:rsidRPr="02DC88D8">
        <w:rPr>
          <w:b/>
          <w:bCs/>
        </w:rPr>
        <w:t>Table 2</w:t>
      </w:r>
      <w:r w:rsidR="13865BBB" w:rsidRPr="02DC88D8">
        <w:rPr>
          <w:rFonts w:eastAsia="Times New Roman"/>
        </w:rPr>
        <w:t>—</w:t>
      </w:r>
      <w:r w:rsidRPr="02DC88D8">
        <w:rPr>
          <w:b/>
          <w:bCs/>
        </w:rPr>
        <w:t>Characteristics of CFRP tendons/CFCC strands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3"/>
        <w:gridCol w:w="2387"/>
        <w:gridCol w:w="2028"/>
        <w:gridCol w:w="1820"/>
      </w:tblGrid>
      <w:tr w:rsidR="00FF37BF" w14:paraId="1B5412FA" w14:textId="77777777">
        <w:trPr>
          <w:trHeight w:val="422"/>
        </w:trPr>
        <w:tc>
          <w:tcPr>
            <w:tcW w:w="2982" w:type="dxa"/>
            <w:vAlign w:val="center"/>
          </w:tcPr>
          <w:p w14:paraId="172552AA" w14:textId="77777777" w:rsidR="00B13825" w:rsidRDefault="00B13825">
            <w:pPr>
              <w:pStyle w:val="BodyText"/>
            </w:pPr>
            <w:r>
              <w:t>Characteristics</w:t>
            </w:r>
          </w:p>
        </w:tc>
        <w:tc>
          <w:tcPr>
            <w:tcW w:w="2493" w:type="dxa"/>
            <w:vAlign w:val="center"/>
          </w:tcPr>
          <w:p w14:paraId="0DE0FD4E" w14:textId="77777777" w:rsidR="00B13825" w:rsidRDefault="00B13825">
            <w:pPr>
              <w:pStyle w:val="BodyText"/>
            </w:pPr>
            <w:proofErr w:type="spellStart"/>
            <w:r>
              <w:t>Leadline</w:t>
            </w:r>
            <w:proofErr w:type="spellEnd"/>
            <w:r>
              <w:rPr>
                <w:rFonts w:ascii="Symbol" w:eastAsia="Symbol" w:hAnsi="Symbol" w:cs="Symbol"/>
                <w:vertAlign w:val="superscript"/>
              </w:rPr>
              <w:t>ä</w:t>
            </w:r>
            <w:r>
              <w:t>(MCC</w:t>
            </w:r>
            <w:r>
              <w:rPr>
                <w:vertAlign w:val="superscript"/>
              </w:rPr>
              <w:t>25</w:t>
            </w:r>
            <w:r>
              <w:t>)</w:t>
            </w:r>
          </w:p>
        </w:tc>
        <w:tc>
          <w:tcPr>
            <w:tcW w:w="2348" w:type="dxa"/>
            <w:vAlign w:val="center"/>
          </w:tcPr>
          <w:p w14:paraId="58097820" w14:textId="37F28DF5" w:rsidR="00B13825" w:rsidRDefault="00B13825" w:rsidP="00720179">
            <w:pPr>
              <w:pStyle w:val="BodyText"/>
            </w:pPr>
            <w:r>
              <w:t>CFCC 1 x 7 (Tokyo Rope</w:t>
            </w:r>
            <w:r>
              <w:rPr>
                <w:vertAlign w:val="superscript"/>
              </w:rPr>
              <w:t>26</w:t>
            </w:r>
            <w:r>
              <w:t>)</w:t>
            </w:r>
          </w:p>
        </w:tc>
        <w:tc>
          <w:tcPr>
            <w:tcW w:w="2077" w:type="dxa"/>
            <w:vAlign w:val="center"/>
          </w:tcPr>
          <w:p w14:paraId="36DB6F92" w14:textId="5F6DD265" w:rsidR="00B13825" w:rsidRDefault="00B13825" w:rsidP="00720179">
            <w:pPr>
              <w:pStyle w:val="BodyText"/>
            </w:pPr>
            <w:r>
              <w:t>CFCC 1 x 37 (Tokyo Rope</w:t>
            </w:r>
            <w:r>
              <w:rPr>
                <w:vertAlign w:val="superscript"/>
              </w:rPr>
              <w:t>26</w:t>
            </w:r>
            <w:r>
              <w:t>)</w:t>
            </w:r>
          </w:p>
        </w:tc>
      </w:tr>
      <w:tr w:rsidR="00FF37BF" w14:paraId="2F75CFF2" w14:textId="77777777">
        <w:tc>
          <w:tcPr>
            <w:tcW w:w="2982" w:type="dxa"/>
            <w:vAlign w:val="center"/>
          </w:tcPr>
          <w:p w14:paraId="0368B99F" w14:textId="77777777" w:rsidR="00B13825" w:rsidRDefault="00B13825">
            <w:pPr>
              <w:pStyle w:val="BodyText"/>
            </w:pPr>
            <w:r>
              <w:t>Nominal diameter,</w:t>
            </w:r>
            <w:r w:rsidR="00B7268F">
              <w:t xml:space="preserve"> in.</w:t>
            </w:r>
            <w:r>
              <w:t xml:space="preserve"> </w:t>
            </w:r>
            <w:r w:rsidR="00B7268F">
              <w:t>(</w:t>
            </w:r>
            <w:r>
              <w:t>mm</w:t>
            </w:r>
            <w:r w:rsidR="00B7268F">
              <w:t>)</w:t>
            </w:r>
          </w:p>
        </w:tc>
        <w:tc>
          <w:tcPr>
            <w:tcW w:w="2493" w:type="dxa"/>
            <w:vAlign w:val="center"/>
          </w:tcPr>
          <w:p w14:paraId="63A5B019" w14:textId="77777777" w:rsidR="00B13825" w:rsidRDefault="00FF37BF">
            <w:pPr>
              <w:pStyle w:val="BodyText"/>
            </w:pPr>
            <w:r>
              <w:t>0.39 (</w:t>
            </w:r>
            <w:r w:rsidR="00B13825">
              <w:t>10</w:t>
            </w:r>
            <w:r>
              <w:t>)</w:t>
            </w:r>
          </w:p>
        </w:tc>
        <w:tc>
          <w:tcPr>
            <w:tcW w:w="2348" w:type="dxa"/>
            <w:vAlign w:val="center"/>
          </w:tcPr>
          <w:p w14:paraId="666196C8" w14:textId="77777777" w:rsidR="00B13825" w:rsidRDefault="00FF37BF">
            <w:pPr>
              <w:pStyle w:val="BodyText"/>
            </w:pPr>
            <w:r>
              <w:t>0.5 (</w:t>
            </w:r>
            <w:r w:rsidR="00B13825">
              <w:t>12.5</w:t>
            </w:r>
            <w:r>
              <w:t>)</w:t>
            </w:r>
          </w:p>
        </w:tc>
        <w:tc>
          <w:tcPr>
            <w:tcW w:w="2077" w:type="dxa"/>
            <w:vAlign w:val="center"/>
          </w:tcPr>
          <w:p w14:paraId="48E25F7B" w14:textId="77777777" w:rsidR="00B13825" w:rsidRDefault="00FF37BF">
            <w:pPr>
              <w:pStyle w:val="BodyText"/>
            </w:pPr>
            <w:r>
              <w:t>1.57 (</w:t>
            </w:r>
            <w:r w:rsidR="00B13825">
              <w:t>40</w:t>
            </w:r>
            <w:r>
              <w:t>)</w:t>
            </w:r>
          </w:p>
        </w:tc>
      </w:tr>
      <w:tr w:rsidR="00FF37BF" w14:paraId="59881369" w14:textId="77777777">
        <w:tc>
          <w:tcPr>
            <w:tcW w:w="2982" w:type="dxa"/>
            <w:vAlign w:val="center"/>
          </w:tcPr>
          <w:p w14:paraId="55B73DB8" w14:textId="77777777" w:rsidR="00B13825" w:rsidRDefault="00B13825">
            <w:pPr>
              <w:pStyle w:val="BodyText"/>
            </w:pPr>
            <w:r>
              <w:t xml:space="preserve">Effective cross-sectional area, </w:t>
            </w:r>
            <w:r w:rsidR="00B7268F">
              <w:t>in.</w:t>
            </w:r>
            <w:r w:rsidR="00B7268F">
              <w:rPr>
                <w:vertAlign w:val="superscript"/>
              </w:rPr>
              <w:t>2</w:t>
            </w:r>
            <w:r>
              <w:t xml:space="preserve"> (</w:t>
            </w:r>
            <w:r w:rsidR="00B7268F">
              <w:t>mm</w:t>
            </w:r>
            <w:r w:rsidR="00B7268F">
              <w:rPr>
                <w:vertAlign w:val="superscript"/>
              </w:rPr>
              <w:t>2</w:t>
            </w:r>
            <w:r>
              <w:t>)</w:t>
            </w:r>
          </w:p>
        </w:tc>
        <w:tc>
          <w:tcPr>
            <w:tcW w:w="2493" w:type="dxa"/>
            <w:vAlign w:val="center"/>
          </w:tcPr>
          <w:p w14:paraId="71C7AEA2" w14:textId="77777777" w:rsidR="00B13825" w:rsidRDefault="00FF37BF">
            <w:pPr>
              <w:pStyle w:val="BodyText"/>
            </w:pPr>
            <w:r>
              <w:t>0.111 (</w:t>
            </w:r>
            <w:r w:rsidR="00B13825">
              <w:t>71.6</w:t>
            </w:r>
            <w:r>
              <w:t>)</w:t>
            </w:r>
          </w:p>
        </w:tc>
        <w:tc>
          <w:tcPr>
            <w:tcW w:w="2348" w:type="dxa"/>
            <w:vAlign w:val="center"/>
          </w:tcPr>
          <w:p w14:paraId="1483612F" w14:textId="77777777" w:rsidR="00B13825" w:rsidRDefault="00FF37BF">
            <w:pPr>
              <w:pStyle w:val="BodyText"/>
            </w:pPr>
            <w:r>
              <w:t>0.118 (</w:t>
            </w:r>
            <w:r w:rsidR="00B13825">
              <w:t>76.0</w:t>
            </w:r>
            <w:r>
              <w:t>)</w:t>
            </w:r>
          </w:p>
        </w:tc>
        <w:tc>
          <w:tcPr>
            <w:tcW w:w="2077" w:type="dxa"/>
            <w:vAlign w:val="center"/>
          </w:tcPr>
          <w:p w14:paraId="0F3403F2" w14:textId="77777777" w:rsidR="00B13825" w:rsidRDefault="00FF37BF">
            <w:pPr>
              <w:pStyle w:val="BodyText"/>
            </w:pPr>
            <w:r>
              <w:t>1.17 (</w:t>
            </w:r>
            <w:r w:rsidR="00B13825">
              <w:t>752.6</w:t>
            </w:r>
            <w:r>
              <w:t>)</w:t>
            </w:r>
          </w:p>
        </w:tc>
      </w:tr>
      <w:tr w:rsidR="00FF37BF" w14:paraId="499E3A50" w14:textId="77777777">
        <w:tc>
          <w:tcPr>
            <w:tcW w:w="2982" w:type="dxa"/>
            <w:vAlign w:val="center"/>
          </w:tcPr>
          <w:p w14:paraId="545D7B56" w14:textId="77777777" w:rsidR="00B13825" w:rsidRDefault="00B13825">
            <w:pPr>
              <w:pStyle w:val="BodyText"/>
            </w:pPr>
            <w:r>
              <w:t xml:space="preserve">Guaranteed tensile strength, </w:t>
            </w:r>
            <w:proofErr w:type="spellStart"/>
            <w:r w:rsidR="00B7268F">
              <w:t>ksi</w:t>
            </w:r>
            <w:proofErr w:type="spellEnd"/>
            <w:r w:rsidR="00B7268F">
              <w:t xml:space="preserve"> </w:t>
            </w:r>
            <w:r>
              <w:t>(</w:t>
            </w:r>
            <w:proofErr w:type="spellStart"/>
            <w:r w:rsidR="00B7268F">
              <w:t>kN</w:t>
            </w:r>
            <w:proofErr w:type="spellEnd"/>
            <w:r w:rsidR="00B7268F">
              <w:t>/mm</w:t>
            </w:r>
            <w:r w:rsidR="00B7268F">
              <w:rPr>
                <w:vertAlign w:val="superscript"/>
              </w:rPr>
              <w:t>2</w:t>
            </w:r>
            <w:r>
              <w:t>)</w:t>
            </w:r>
          </w:p>
        </w:tc>
        <w:tc>
          <w:tcPr>
            <w:tcW w:w="2493" w:type="dxa"/>
            <w:vAlign w:val="center"/>
          </w:tcPr>
          <w:p w14:paraId="21516411" w14:textId="77777777" w:rsidR="00B13825" w:rsidRDefault="00FF37BF">
            <w:pPr>
              <w:pStyle w:val="BodyText"/>
            </w:pPr>
            <w:r>
              <w:t>328 (</w:t>
            </w:r>
            <w:r w:rsidR="00B13825">
              <w:t>2.26</w:t>
            </w:r>
            <w:r>
              <w:t>)</w:t>
            </w:r>
          </w:p>
        </w:tc>
        <w:tc>
          <w:tcPr>
            <w:tcW w:w="2348" w:type="dxa"/>
            <w:vAlign w:val="center"/>
          </w:tcPr>
          <w:p w14:paraId="4A78A123" w14:textId="77777777" w:rsidR="00B13825" w:rsidRDefault="00FF37BF">
            <w:pPr>
              <w:pStyle w:val="BodyText"/>
            </w:pPr>
            <w:r>
              <w:t>271 (</w:t>
            </w:r>
            <w:r w:rsidR="00B13825">
              <w:t>1.87</w:t>
            </w:r>
            <w:r>
              <w:t>)</w:t>
            </w:r>
          </w:p>
        </w:tc>
        <w:tc>
          <w:tcPr>
            <w:tcW w:w="2077" w:type="dxa"/>
            <w:vAlign w:val="center"/>
          </w:tcPr>
          <w:p w14:paraId="10CAA810" w14:textId="77777777" w:rsidR="00B13825" w:rsidRDefault="00FF37BF">
            <w:pPr>
              <w:pStyle w:val="BodyText"/>
            </w:pPr>
            <w:r>
              <w:t>205 (</w:t>
            </w:r>
            <w:r w:rsidR="00B13825">
              <w:t>1.41</w:t>
            </w:r>
            <w:r>
              <w:t>)</w:t>
            </w:r>
          </w:p>
        </w:tc>
      </w:tr>
      <w:tr w:rsidR="00FF37BF" w14:paraId="04EA6945" w14:textId="77777777">
        <w:tc>
          <w:tcPr>
            <w:tcW w:w="2982" w:type="dxa"/>
            <w:vAlign w:val="center"/>
          </w:tcPr>
          <w:p w14:paraId="562FFA5C" w14:textId="77777777" w:rsidR="00B13825" w:rsidRDefault="00B13825">
            <w:pPr>
              <w:pStyle w:val="BodyText"/>
            </w:pPr>
            <w:r>
              <w:t>Specified tensile strength</w:t>
            </w:r>
            <w:r>
              <w:rPr>
                <w:vertAlign w:val="superscript"/>
              </w:rPr>
              <w:t>*</w:t>
            </w:r>
            <w:r>
              <w:t xml:space="preserve">, </w:t>
            </w:r>
            <w:proofErr w:type="spellStart"/>
            <w:r w:rsidR="00B7268F">
              <w:t>ksi</w:t>
            </w:r>
            <w:proofErr w:type="spellEnd"/>
            <w:r w:rsidR="00B7268F">
              <w:t xml:space="preserve"> </w:t>
            </w:r>
            <w:r>
              <w:t>(</w:t>
            </w:r>
            <w:proofErr w:type="spellStart"/>
            <w:r w:rsidR="00B7268F">
              <w:t>kN</w:t>
            </w:r>
            <w:proofErr w:type="spellEnd"/>
            <w:r w:rsidR="00B7268F">
              <w:t>/mm</w:t>
            </w:r>
            <w:r w:rsidR="00B7268F">
              <w:rPr>
                <w:vertAlign w:val="superscript"/>
              </w:rPr>
              <w:t>2</w:t>
            </w:r>
            <w:r>
              <w:t>)</w:t>
            </w:r>
          </w:p>
        </w:tc>
        <w:tc>
          <w:tcPr>
            <w:tcW w:w="2493" w:type="dxa"/>
            <w:vAlign w:val="center"/>
          </w:tcPr>
          <w:p w14:paraId="09A47976" w14:textId="77777777" w:rsidR="00B13825" w:rsidRDefault="00FF37BF">
            <w:pPr>
              <w:pStyle w:val="BodyText"/>
            </w:pPr>
            <w:r>
              <w:t>415 (</w:t>
            </w:r>
            <w:r w:rsidR="00B13825">
              <w:t>2.86</w:t>
            </w:r>
            <w:r>
              <w:t>)</w:t>
            </w:r>
          </w:p>
        </w:tc>
        <w:tc>
          <w:tcPr>
            <w:tcW w:w="2348" w:type="dxa"/>
            <w:vAlign w:val="center"/>
          </w:tcPr>
          <w:p w14:paraId="05D455C6" w14:textId="77777777" w:rsidR="00B13825" w:rsidRDefault="00FF37BF">
            <w:pPr>
              <w:pStyle w:val="BodyText"/>
            </w:pPr>
            <w:r>
              <w:t>305 (</w:t>
            </w:r>
            <w:r w:rsidR="00B13825">
              <w:t>2.10</w:t>
            </w:r>
            <w:r>
              <w:t>)</w:t>
            </w:r>
          </w:p>
        </w:tc>
        <w:tc>
          <w:tcPr>
            <w:tcW w:w="2077" w:type="dxa"/>
            <w:vAlign w:val="center"/>
          </w:tcPr>
          <w:p w14:paraId="3DEB3F5B" w14:textId="77777777" w:rsidR="00B13825" w:rsidRDefault="00FF37BF">
            <w:pPr>
              <w:pStyle w:val="BodyText"/>
            </w:pPr>
            <w:r>
              <w:t>271 (</w:t>
            </w:r>
            <w:r w:rsidR="00B13825">
              <w:t>1.87</w:t>
            </w:r>
            <w:r>
              <w:t>)</w:t>
            </w:r>
          </w:p>
        </w:tc>
      </w:tr>
      <w:tr w:rsidR="00FF37BF" w14:paraId="7706503D" w14:textId="77777777">
        <w:tc>
          <w:tcPr>
            <w:tcW w:w="2982" w:type="dxa"/>
            <w:vAlign w:val="center"/>
          </w:tcPr>
          <w:p w14:paraId="2FD51C10" w14:textId="77777777" w:rsidR="00B13825" w:rsidRDefault="00B13825">
            <w:pPr>
              <w:pStyle w:val="BodyText"/>
            </w:pPr>
            <w:r>
              <w:t xml:space="preserve">Young’s modulus of elasticity, </w:t>
            </w:r>
            <w:proofErr w:type="spellStart"/>
            <w:r w:rsidR="00B7268F">
              <w:t>ksi</w:t>
            </w:r>
            <w:proofErr w:type="spellEnd"/>
            <w:r w:rsidR="00B7268F">
              <w:t xml:space="preserve"> </w:t>
            </w:r>
            <w:r>
              <w:t>(</w:t>
            </w:r>
            <w:proofErr w:type="spellStart"/>
            <w:r w:rsidR="00B7268F">
              <w:t>kN</w:t>
            </w:r>
            <w:proofErr w:type="spellEnd"/>
            <w:r w:rsidR="00B7268F">
              <w:t>/mm</w:t>
            </w:r>
            <w:r w:rsidR="00B7268F">
              <w:rPr>
                <w:vertAlign w:val="superscript"/>
              </w:rPr>
              <w:t>2</w:t>
            </w:r>
            <w:r>
              <w:t>)</w:t>
            </w:r>
          </w:p>
        </w:tc>
        <w:tc>
          <w:tcPr>
            <w:tcW w:w="2493" w:type="dxa"/>
            <w:vAlign w:val="center"/>
          </w:tcPr>
          <w:p w14:paraId="1DA25ACC" w14:textId="77777777" w:rsidR="00B13825" w:rsidRDefault="00FF37BF">
            <w:pPr>
              <w:pStyle w:val="BodyText"/>
            </w:pPr>
            <w:r>
              <w:t>21,320 (</w:t>
            </w:r>
            <w:r w:rsidR="00866081">
              <w:t>1</w:t>
            </w:r>
            <w:r w:rsidR="00B13825">
              <w:t>47</w:t>
            </w:r>
            <w:r>
              <w:t>)</w:t>
            </w:r>
          </w:p>
        </w:tc>
        <w:tc>
          <w:tcPr>
            <w:tcW w:w="2348" w:type="dxa"/>
            <w:vAlign w:val="center"/>
          </w:tcPr>
          <w:p w14:paraId="7881F46F" w14:textId="77777777" w:rsidR="00B13825" w:rsidRDefault="00FF37BF">
            <w:pPr>
              <w:pStyle w:val="BodyText"/>
            </w:pPr>
            <w:r>
              <w:t>19,865 (</w:t>
            </w:r>
            <w:r w:rsidR="00B13825">
              <w:t>137</w:t>
            </w:r>
            <w:r>
              <w:t>)</w:t>
            </w:r>
          </w:p>
        </w:tc>
        <w:tc>
          <w:tcPr>
            <w:tcW w:w="2077" w:type="dxa"/>
            <w:vAlign w:val="center"/>
          </w:tcPr>
          <w:p w14:paraId="2C8B4C99" w14:textId="77777777" w:rsidR="00B13825" w:rsidRDefault="00FF37BF">
            <w:pPr>
              <w:pStyle w:val="BodyText"/>
            </w:pPr>
            <w:r>
              <w:t>18,419 (</w:t>
            </w:r>
            <w:r w:rsidR="00B13825">
              <w:t>127</w:t>
            </w:r>
            <w:r>
              <w:t>)</w:t>
            </w:r>
          </w:p>
        </w:tc>
      </w:tr>
      <w:tr w:rsidR="00FF37BF" w14:paraId="5F070858" w14:textId="77777777">
        <w:tc>
          <w:tcPr>
            <w:tcW w:w="2982" w:type="dxa"/>
            <w:vAlign w:val="center"/>
          </w:tcPr>
          <w:p w14:paraId="48411903" w14:textId="77777777" w:rsidR="00B13825" w:rsidRDefault="00B13825">
            <w:pPr>
              <w:pStyle w:val="BodyText"/>
            </w:pPr>
            <w:r>
              <w:t>Elongation, %</w:t>
            </w:r>
          </w:p>
        </w:tc>
        <w:tc>
          <w:tcPr>
            <w:tcW w:w="2493" w:type="dxa"/>
            <w:vAlign w:val="center"/>
          </w:tcPr>
          <w:p w14:paraId="046974D1" w14:textId="77777777" w:rsidR="00B13825" w:rsidRDefault="00B13825">
            <w:pPr>
              <w:pStyle w:val="BodyText"/>
            </w:pPr>
            <w:r>
              <w:t>1.9</w:t>
            </w:r>
          </w:p>
        </w:tc>
        <w:tc>
          <w:tcPr>
            <w:tcW w:w="2348" w:type="dxa"/>
            <w:vAlign w:val="center"/>
          </w:tcPr>
          <w:p w14:paraId="5CB3188B" w14:textId="77777777" w:rsidR="00B13825" w:rsidRDefault="00B13825">
            <w:pPr>
              <w:pStyle w:val="BodyText"/>
            </w:pPr>
            <w:r>
              <w:t>1.5</w:t>
            </w:r>
          </w:p>
        </w:tc>
        <w:tc>
          <w:tcPr>
            <w:tcW w:w="2077" w:type="dxa"/>
            <w:vAlign w:val="center"/>
          </w:tcPr>
          <w:p w14:paraId="5DC16330" w14:textId="77777777" w:rsidR="00B13825" w:rsidRDefault="00B13825">
            <w:pPr>
              <w:pStyle w:val="BodyText"/>
            </w:pPr>
            <w:r>
              <w:t>1.5</w:t>
            </w:r>
          </w:p>
        </w:tc>
      </w:tr>
      <w:tr w:rsidR="00FF37BF" w14:paraId="78226027" w14:textId="77777777">
        <w:tc>
          <w:tcPr>
            <w:tcW w:w="2982" w:type="dxa"/>
            <w:vAlign w:val="center"/>
          </w:tcPr>
          <w:p w14:paraId="2BD804FE" w14:textId="38267B43" w:rsidR="00B13825" w:rsidRDefault="00B13825">
            <w:pPr>
              <w:pStyle w:val="BodyText"/>
            </w:pPr>
            <w:r>
              <w:t xml:space="preserve">Guaranteed breaking load, </w:t>
            </w:r>
            <w:r w:rsidR="00B7268F">
              <w:t xml:space="preserve">kip </w:t>
            </w:r>
            <w:r>
              <w:t>(</w:t>
            </w:r>
            <w:proofErr w:type="spellStart"/>
            <w:r w:rsidR="00B7268F">
              <w:t>kN</w:t>
            </w:r>
            <w:proofErr w:type="spellEnd"/>
            <w:r>
              <w:t>)</w:t>
            </w:r>
          </w:p>
        </w:tc>
        <w:tc>
          <w:tcPr>
            <w:tcW w:w="2493" w:type="dxa"/>
            <w:vAlign w:val="center"/>
          </w:tcPr>
          <w:p w14:paraId="194442C4" w14:textId="77777777" w:rsidR="00B13825" w:rsidRDefault="00FF37BF">
            <w:pPr>
              <w:pStyle w:val="BodyText"/>
            </w:pPr>
            <w:r>
              <w:t>36.4 (</w:t>
            </w:r>
            <w:r w:rsidR="00B13825">
              <w:t>162</w:t>
            </w:r>
            <w:r>
              <w:t>)</w:t>
            </w:r>
          </w:p>
        </w:tc>
        <w:tc>
          <w:tcPr>
            <w:tcW w:w="2348" w:type="dxa"/>
            <w:vAlign w:val="center"/>
          </w:tcPr>
          <w:p w14:paraId="6AC21F69" w14:textId="77777777" w:rsidR="00B13825" w:rsidRDefault="00FF37BF">
            <w:pPr>
              <w:pStyle w:val="BodyText"/>
            </w:pPr>
            <w:r>
              <w:t>31.9 (</w:t>
            </w:r>
            <w:r w:rsidR="00B13825">
              <w:t>142</w:t>
            </w:r>
            <w:r>
              <w:t>)</w:t>
            </w:r>
          </w:p>
        </w:tc>
        <w:tc>
          <w:tcPr>
            <w:tcW w:w="2077" w:type="dxa"/>
            <w:vAlign w:val="center"/>
          </w:tcPr>
          <w:p w14:paraId="343BE08D" w14:textId="5DE4C6D3" w:rsidR="00B13825" w:rsidRDefault="00FF37BF">
            <w:pPr>
              <w:pStyle w:val="BodyText"/>
            </w:pPr>
            <w:r>
              <w:t>240.5 (</w:t>
            </w:r>
            <w:r w:rsidR="00B13825">
              <w:t>1070</w:t>
            </w:r>
            <w:r>
              <w:t>)</w:t>
            </w:r>
          </w:p>
        </w:tc>
      </w:tr>
      <w:tr w:rsidR="00FF37BF" w14:paraId="1F3FA60D" w14:textId="77777777">
        <w:tc>
          <w:tcPr>
            <w:tcW w:w="2982" w:type="dxa"/>
            <w:vAlign w:val="center"/>
          </w:tcPr>
          <w:p w14:paraId="11ACFD28" w14:textId="5B6A3D3C" w:rsidR="00B13825" w:rsidRDefault="00B13825" w:rsidP="00720179">
            <w:pPr>
              <w:pStyle w:val="BodyText"/>
            </w:pPr>
            <w:r>
              <w:t xml:space="preserve">Ultimate breaking load, </w:t>
            </w:r>
            <w:r w:rsidR="00B7268F">
              <w:t xml:space="preserve">kip </w:t>
            </w:r>
            <w:r>
              <w:t>(</w:t>
            </w:r>
            <w:proofErr w:type="spellStart"/>
            <w:r w:rsidR="00B7268F">
              <w:t>kN</w:t>
            </w:r>
            <w:proofErr w:type="spellEnd"/>
            <w:r>
              <w:t>)</w:t>
            </w:r>
          </w:p>
        </w:tc>
        <w:tc>
          <w:tcPr>
            <w:tcW w:w="2493" w:type="dxa"/>
            <w:vAlign w:val="center"/>
          </w:tcPr>
          <w:p w14:paraId="34789071" w14:textId="77777777" w:rsidR="00B13825" w:rsidRDefault="00FF37BF">
            <w:pPr>
              <w:pStyle w:val="BodyText"/>
            </w:pPr>
            <w:r>
              <w:t>46 (</w:t>
            </w:r>
            <w:r w:rsidR="00B13825">
              <w:t>204.7</w:t>
            </w:r>
            <w:r>
              <w:t>)</w:t>
            </w:r>
          </w:p>
        </w:tc>
        <w:tc>
          <w:tcPr>
            <w:tcW w:w="2348" w:type="dxa"/>
            <w:vAlign w:val="center"/>
          </w:tcPr>
          <w:p w14:paraId="104A1FA3" w14:textId="77777777" w:rsidR="00B13825" w:rsidRDefault="00FF37BF">
            <w:pPr>
              <w:pStyle w:val="BodyText"/>
            </w:pPr>
            <w:r>
              <w:t>36 (</w:t>
            </w:r>
            <w:r w:rsidR="00B13825">
              <w:t>160</w:t>
            </w:r>
            <w:r>
              <w:t>)</w:t>
            </w:r>
          </w:p>
        </w:tc>
        <w:tc>
          <w:tcPr>
            <w:tcW w:w="2077" w:type="dxa"/>
            <w:vAlign w:val="center"/>
          </w:tcPr>
          <w:p w14:paraId="06AC68DD" w14:textId="6B97F815" w:rsidR="00B13825" w:rsidRDefault="00FF37BF">
            <w:pPr>
              <w:pStyle w:val="BodyText"/>
            </w:pPr>
            <w:r>
              <w:t>316.9 (</w:t>
            </w:r>
            <w:r w:rsidR="00B13825">
              <w:t>1410</w:t>
            </w:r>
            <w:r>
              <w:t>)</w:t>
            </w:r>
          </w:p>
        </w:tc>
      </w:tr>
    </w:tbl>
    <w:p w14:paraId="67D20A4D" w14:textId="2D444CD1" w:rsidR="00B13825" w:rsidRDefault="00B13825">
      <w:pPr>
        <w:spacing w:line="480" w:lineRule="auto"/>
        <w:ind w:left="187" w:hanging="187"/>
      </w:pPr>
      <w:r w:rsidRPr="02DC88D8">
        <w:rPr>
          <w:vertAlign w:val="superscript"/>
        </w:rPr>
        <w:t>*</w:t>
      </w:r>
      <w:r>
        <w:t>Ultimate tensile strength characteristics of tendons and strands were obtained from test, whereas manufacturers supplied other properties.</w:t>
      </w:r>
    </w:p>
    <w:p w14:paraId="69300FAD" w14:textId="71BA8916" w:rsidR="314D6D83" w:rsidRPr="005A2F03" w:rsidRDefault="314D6D83" w:rsidP="02DC88D8">
      <w:pPr>
        <w:spacing w:line="480" w:lineRule="auto"/>
        <w:ind w:left="187" w:hanging="187"/>
        <w:rPr>
          <w:rFonts w:eastAsia="Times New Roman"/>
          <w:color w:val="4472C4" w:themeColor="accent1"/>
          <w:u w:val="single"/>
        </w:rPr>
      </w:pPr>
      <w:r w:rsidRPr="005A2F03">
        <w:rPr>
          <w:color w:val="4472C4" w:themeColor="accent1"/>
          <w:u w:val="single"/>
        </w:rPr>
        <w:t>(If more symbols are required in the footnotes section, please use in this order</w:t>
      </w:r>
      <w:r w:rsidR="55E553D3" w:rsidRPr="005A2F03">
        <w:rPr>
          <w:color w:val="4472C4" w:themeColor="accent1"/>
          <w:u w:val="single"/>
        </w:rPr>
        <w:t xml:space="preserve">: *, </w:t>
      </w:r>
      <w:r w:rsidR="55E553D3" w:rsidRPr="005A2F03">
        <w:rPr>
          <w:rFonts w:eastAsia="Times New Roman"/>
          <w:color w:val="4472C4" w:themeColor="accent1"/>
          <w:u w:val="single"/>
        </w:rPr>
        <w:t>†, ‡</w:t>
      </w:r>
      <w:r w:rsidR="00635E85" w:rsidRPr="005A2F03">
        <w:rPr>
          <w:rFonts w:eastAsia="Times New Roman"/>
          <w:color w:val="4472C4" w:themeColor="accent1"/>
          <w:u w:val="single"/>
        </w:rPr>
        <w:t xml:space="preserve">, §, </w:t>
      </w:r>
      <w:r w:rsidR="005A2F03" w:rsidRPr="005A2F03">
        <w:rPr>
          <w:rFonts w:eastAsia="Times New Roman"/>
          <w:color w:val="4472C4" w:themeColor="accent1"/>
          <w:u w:val="single"/>
        </w:rPr>
        <w:t>||, #. If there are more than six footnotes, go back to asterisk (*) and double-up: **, ††, ‡‡, and so on</w:t>
      </w:r>
      <w:r w:rsidR="55E553D3" w:rsidRPr="005A2F03">
        <w:rPr>
          <w:rFonts w:eastAsia="Times New Roman"/>
          <w:color w:val="4472C4" w:themeColor="accent1"/>
          <w:u w:val="single"/>
        </w:rPr>
        <w:t>)</w:t>
      </w:r>
    </w:p>
    <w:p w14:paraId="7FE2140B" w14:textId="58C8568F" w:rsidR="00B13825" w:rsidRDefault="009A5B25" w:rsidP="00BA775E">
      <w:pPr>
        <w:pStyle w:val="Footer"/>
        <w:tabs>
          <w:tab w:val="clear" w:pos="4252"/>
          <w:tab w:val="clear" w:pos="8504"/>
        </w:tabs>
        <w:spacing w:line="480" w:lineRule="auto"/>
        <w:jc w:val="center"/>
      </w:pPr>
      <w:r>
        <w:rPr>
          <w:noProof/>
        </w:rPr>
        <w:lastRenderedPageBreak/>
        <w:drawing>
          <wp:inline distT="0" distB="0" distL="0" distR="0" wp14:anchorId="7A5BD509" wp14:editId="3B23B61F">
            <wp:extent cx="4144489" cy="3140218"/>
            <wp:effectExtent l="0" t="0" r="8890" b="3175"/>
            <wp:docPr id="10" name="Picture 10" descr="DSC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SC000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53526" cy="3147065"/>
                    </a:xfrm>
                    <a:prstGeom prst="rect">
                      <a:avLst/>
                    </a:prstGeom>
                    <a:noFill/>
                    <a:ln>
                      <a:noFill/>
                    </a:ln>
                  </pic:spPr>
                </pic:pic>
              </a:graphicData>
            </a:graphic>
          </wp:inline>
        </w:drawing>
      </w:r>
    </w:p>
    <w:p w14:paraId="1F27F5AA" w14:textId="266ECB1B" w:rsidR="00B13825" w:rsidRDefault="00B13825">
      <w:pPr>
        <w:pStyle w:val="Footer"/>
        <w:tabs>
          <w:tab w:val="clear" w:pos="4252"/>
          <w:tab w:val="clear" w:pos="8504"/>
        </w:tabs>
        <w:spacing w:line="480" w:lineRule="auto"/>
        <w:jc w:val="center"/>
        <w:rPr>
          <w:b/>
          <w:bCs/>
          <w:lang w:val="en-GB"/>
        </w:rPr>
      </w:pPr>
      <w:r w:rsidRPr="02DC88D8">
        <w:rPr>
          <w:b/>
          <w:bCs/>
          <w:lang w:val="en-GB"/>
        </w:rPr>
        <w:t>Fig. 1</w:t>
      </w:r>
      <w:r w:rsidR="6A39FEE3" w:rsidRPr="02DC88D8">
        <w:rPr>
          <w:rFonts w:eastAsia="Times New Roman"/>
        </w:rPr>
        <w:t>—</w:t>
      </w:r>
      <w:r w:rsidR="3B62C9CA" w:rsidRPr="02DC88D8">
        <w:rPr>
          <w:b/>
          <w:bCs/>
          <w:lang w:val="en-GB"/>
        </w:rPr>
        <w:t>O</w:t>
      </w:r>
      <w:r w:rsidRPr="02DC88D8">
        <w:rPr>
          <w:b/>
          <w:bCs/>
          <w:lang w:val="en-GB"/>
        </w:rPr>
        <w:t>verview of specimen in position ready for testing.</w:t>
      </w:r>
    </w:p>
    <w:p w14:paraId="5B084469" w14:textId="77777777" w:rsidR="00B13825" w:rsidRDefault="00B13825">
      <w:pPr>
        <w:pStyle w:val="Footer"/>
        <w:tabs>
          <w:tab w:val="clear" w:pos="4252"/>
          <w:tab w:val="clear" w:pos="8504"/>
        </w:tabs>
        <w:spacing w:line="480" w:lineRule="auto"/>
        <w:jc w:val="center"/>
        <w:rPr>
          <w:bCs/>
          <w:lang w:val="en-GB"/>
        </w:rPr>
      </w:pPr>
    </w:p>
    <w:p w14:paraId="67355F30" w14:textId="77777777" w:rsidR="00B13825" w:rsidRDefault="009A5B25" w:rsidP="00397B28">
      <w:pPr>
        <w:pStyle w:val="Footer"/>
        <w:tabs>
          <w:tab w:val="clear" w:pos="4252"/>
          <w:tab w:val="clear" w:pos="8504"/>
        </w:tabs>
        <w:spacing w:line="480" w:lineRule="auto"/>
        <w:jc w:val="center"/>
      </w:pPr>
      <w:r>
        <w:rPr>
          <w:noProof/>
        </w:rPr>
        <w:drawing>
          <wp:inline distT="0" distB="0" distL="0" distR="0" wp14:anchorId="5B8D12C4" wp14:editId="13879F16">
            <wp:extent cx="2553194" cy="1571810"/>
            <wp:effectExtent l="0" t="0" r="0" b="0"/>
            <wp:docPr id="11" name="Picture 11" descr="s33fig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33fig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57146" cy="1574243"/>
                    </a:xfrm>
                    <a:prstGeom prst="rect">
                      <a:avLst/>
                    </a:prstGeom>
                    <a:noFill/>
                    <a:ln>
                      <a:noFill/>
                    </a:ln>
                  </pic:spPr>
                </pic:pic>
              </a:graphicData>
            </a:graphic>
          </wp:inline>
        </w:drawing>
      </w:r>
    </w:p>
    <w:p w14:paraId="059195A0" w14:textId="03729A63" w:rsidR="00B13825" w:rsidRDefault="00B13825">
      <w:pPr>
        <w:pStyle w:val="Footer"/>
        <w:tabs>
          <w:tab w:val="clear" w:pos="4252"/>
          <w:tab w:val="clear" w:pos="8504"/>
        </w:tabs>
        <w:spacing w:line="480" w:lineRule="auto"/>
        <w:jc w:val="center"/>
        <w:rPr>
          <w:b/>
          <w:bCs/>
        </w:rPr>
      </w:pPr>
      <w:r w:rsidRPr="02DC88D8">
        <w:rPr>
          <w:b/>
          <w:bCs/>
        </w:rPr>
        <w:t>Fig. 6</w:t>
      </w:r>
      <w:r w:rsidR="6C58F366" w:rsidRPr="02DC88D8">
        <w:rPr>
          <w:rFonts w:eastAsia="Times New Roman"/>
        </w:rPr>
        <w:t>—</w:t>
      </w:r>
      <w:r w:rsidR="00397B28" w:rsidRPr="02DC88D8">
        <w:rPr>
          <w:b/>
          <w:bCs/>
        </w:rPr>
        <w:t>Peak lateral stiffness versus applied drift ratio</w:t>
      </w:r>
      <w:r w:rsidRPr="02DC88D8">
        <w:rPr>
          <w:b/>
          <w:bCs/>
        </w:rPr>
        <w:t>.</w:t>
      </w:r>
    </w:p>
    <w:p w14:paraId="43448E2B" w14:textId="2B222F98" w:rsidR="006E5020" w:rsidRPr="00635E85" w:rsidRDefault="008A751D" w:rsidP="008A751D">
      <w:pPr>
        <w:pStyle w:val="Footer"/>
        <w:tabs>
          <w:tab w:val="clear" w:pos="4252"/>
          <w:tab w:val="clear" w:pos="8504"/>
        </w:tabs>
        <w:spacing w:line="480" w:lineRule="auto"/>
        <w:rPr>
          <w:b/>
          <w:color w:val="4472C4" w:themeColor="accent1"/>
          <w:u w:val="single"/>
        </w:rPr>
      </w:pPr>
      <w:r w:rsidRPr="00635E85">
        <w:rPr>
          <w:b/>
          <w:color w:val="4472C4" w:themeColor="accent1"/>
          <w:u w:val="single"/>
        </w:rPr>
        <w:t>Additional notes for tables and figures:</w:t>
      </w:r>
    </w:p>
    <w:p w14:paraId="3D25BECB" w14:textId="75E19FDF" w:rsidR="00951F2C" w:rsidRPr="00635E85" w:rsidRDefault="00951F2C" w:rsidP="008A751D">
      <w:pPr>
        <w:pStyle w:val="Footer"/>
        <w:tabs>
          <w:tab w:val="clear" w:pos="4252"/>
          <w:tab w:val="clear" w:pos="8504"/>
        </w:tabs>
        <w:spacing w:line="480" w:lineRule="auto"/>
        <w:rPr>
          <w:bCs/>
          <w:color w:val="4472C4" w:themeColor="accent1"/>
        </w:rPr>
      </w:pPr>
      <w:r w:rsidRPr="00635E85">
        <w:rPr>
          <w:bCs/>
          <w:color w:val="4472C4" w:themeColor="accent1"/>
        </w:rPr>
        <w:t xml:space="preserve">Add </w:t>
      </w:r>
      <w:r w:rsidR="0098753A" w:rsidRPr="00635E85">
        <w:rPr>
          <w:bCs/>
          <w:color w:val="4472C4" w:themeColor="accent1"/>
        </w:rPr>
        <w:t xml:space="preserve">dual </w:t>
      </w:r>
      <w:r w:rsidRPr="00635E85">
        <w:rPr>
          <w:bCs/>
          <w:color w:val="4472C4" w:themeColor="accent1"/>
        </w:rPr>
        <w:t>units opposite to main units</w:t>
      </w:r>
      <w:r w:rsidR="00D74FB2" w:rsidRPr="00635E85">
        <w:rPr>
          <w:bCs/>
          <w:color w:val="4472C4" w:themeColor="accent1"/>
        </w:rPr>
        <w:t xml:space="preserve"> only if units are in US </w:t>
      </w:r>
      <w:r w:rsidR="008A751D" w:rsidRPr="00635E85">
        <w:rPr>
          <w:bCs/>
          <w:color w:val="4472C4" w:themeColor="accent1"/>
        </w:rPr>
        <w:t>(</w:t>
      </w:r>
      <w:r w:rsidR="00D74FB2" w:rsidRPr="00635E85">
        <w:rPr>
          <w:bCs/>
          <w:color w:val="4472C4" w:themeColor="accent1"/>
        </w:rPr>
        <w:t>in.-</w:t>
      </w:r>
      <w:proofErr w:type="spellStart"/>
      <w:r w:rsidR="00D74FB2" w:rsidRPr="00635E85">
        <w:rPr>
          <w:bCs/>
          <w:color w:val="4472C4" w:themeColor="accent1"/>
        </w:rPr>
        <w:t>lb</w:t>
      </w:r>
      <w:proofErr w:type="spellEnd"/>
      <w:r w:rsidR="008A751D" w:rsidRPr="00635E85">
        <w:rPr>
          <w:bCs/>
          <w:color w:val="4472C4" w:themeColor="accent1"/>
        </w:rPr>
        <w:t>)</w:t>
      </w:r>
    </w:p>
    <w:p w14:paraId="6C1536E7" w14:textId="55382DDC" w:rsidR="00605651" w:rsidRPr="00635E85" w:rsidRDefault="00605651" w:rsidP="00605651">
      <w:pPr>
        <w:autoSpaceDE w:val="0"/>
        <w:autoSpaceDN w:val="0"/>
        <w:adjustRightInd w:val="0"/>
        <w:spacing w:after="120" w:line="240" w:lineRule="atLeast"/>
        <w:rPr>
          <w:color w:val="4472C4" w:themeColor="accent1"/>
        </w:rPr>
      </w:pPr>
      <w:r w:rsidRPr="00635E85">
        <w:rPr>
          <w:color w:val="4472C4" w:themeColor="accent1"/>
        </w:rPr>
        <w:t>In the case of very complex and large tables and figures, two options are acceptable:</w:t>
      </w:r>
    </w:p>
    <w:p w14:paraId="04E82EDD" w14:textId="77777777" w:rsidR="00605651" w:rsidRPr="00635E85" w:rsidRDefault="00605651" w:rsidP="00605651">
      <w:pPr>
        <w:autoSpaceDE w:val="0"/>
        <w:autoSpaceDN w:val="0"/>
        <w:adjustRightInd w:val="0"/>
        <w:spacing w:after="120" w:line="240" w:lineRule="atLeast"/>
        <w:rPr>
          <w:color w:val="4472C4" w:themeColor="accent1"/>
        </w:rPr>
      </w:pPr>
      <w:r w:rsidRPr="00635E85">
        <w:rPr>
          <w:color w:val="4472C4" w:themeColor="accent1"/>
        </w:rPr>
        <w:tab/>
        <w:t>(a) Provide a duplicate table or figure with the secondary units.</w:t>
      </w:r>
    </w:p>
    <w:p w14:paraId="5A5A79F9" w14:textId="77777777" w:rsidR="00B13825" w:rsidRPr="00635E85" w:rsidRDefault="00605651" w:rsidP="006E5020">
      <w:pPr>
        <w:autoSpaceDE w:val="0"/>
        <w:autoSpaceDN w:val="0"/>
        <w:adjustRightInd w:val="0"/>
        <w:spacing w:after="120" w:line="240" w:lineRule="atLeast"/>
        <w:ind w:left="720" w:hanging="720"/>
        <w:rPr>
          <w:color w:val="4472C4" w:themeColor="accent1"/>
        </w:rPr>
      </w:pPr>
      <w:r w:rsidRPr="00635E85">
        <w:rPr>
          <w:color w:val="4472C4" w:themeColor="accent1"/>
        </w:rPr>
        <w:tab/>
        <w:t>(b) Provide the conversion factors for the units used in the table or figure under the table or figure (only possible if space prevents item (a)).</w:t>
      </w:r>
    </w:p>
    <w:p w14:paraId="350C2259" w14:textId="288295CC" w:rsidR="1F815643" w:rsidRPr="00635E85" w:rsidRDefault="1F815643" w:rsidP="02DC88D8">
      <w:pPr>
        <w:spacing w:after="120" w:line="240" w:lineRule="atLeast"/>
        <w:rPr>
          <w:color w:val="4472C4" w:themeColor="accent1"/>
        </w:rPr>
      </w:pPr>
      <w:r w:rsidRPr="00635E85">
        <w:rPr>
          <w:color w:val="4472C4" w:themeColor="accent1"/>
        </w:rPr>
        <w:t>Any notes in figure captions should go in parentheses.</w:t>
      </w:r>
    </w:p>
    <w:p w14:paraId="221BA1E2" w14:textId="6852A4B5" w:rsidR="41C28FAB" w:rsidRPr="00635E85" w:rsidRDefault="41C28FAB" w:rsidP="02DC88D8">
      <w:pPr>
        <w:spacing w:after="120" w:line="240" w:lineRule="atLeast"/>
        <w:rPr>
          <w:color w:val="4472C4" w:themeColor="accent1"/>
        </w:rPr>
      </w:pPr>
      <w:r w:rsidRPr="00635E85">
        <w:rPr>
          <w:color w:val="4472C4" w:themeColor="accent1"/>
        </w:rPr>
        <w:t>Unnecessary articles should not be included in table footnotes and figure captions (</w:t>
      </w:r>
      <w:r w:rsidR="250FBF20" w:rsidRPr="00635E85">
        <w:rPr>
          <w:color w:val="4472C4" w:themeColor="accent1"/>
        </w:rPr>
        <w:t>a, an, the)</w:t>
      </w:r>
    </w:p>
    <w:p w14:paraId="653B3E98" w14:textId="3BF565A8" w:rsidR="4185BE22" w:rsidRPr="00635E85" w:rsidRDefault="4185BE22" w:rsidP="02DC88D8">
      <w:pPr>
        <w:spacing w:after="120" w:line="240" w:lineRule="atLeast"/>
        <w:rPr>
          <w:rFonts w:eastAsia="Times New Roman"/>
          <w:color w:val="4472C4" w:themeColor="accent1"/>
        </w:rPr>
      </w:pPr>
      <w:r w:rsidRPr="00635E85">
        <w:rPr>
          <w:color w:val="4472C4" w:themeColor="accent1"/>
        </w:rPr>
        <w:t xml:space="preserve">Use </w:t>
      </w:r>
      <w:proofErr w:type="spellStart"/>
      <w:r w:rsidRPr="00635E85">
        <w:rPr>
          <w:color w:val="4472C4" w:themeColor="accent1"/>
        </w:rPr>
        <w:t>em</w:t>
      </w:r>
      <w:proofErr w:type="spellEnd"/>
      <w:r w:rsidRPr="00635E85">
        <w:rPr>
          <w:color w:val="4472C4" w:themeColor="accent1"/>
        </w:rPr>
        <w:t xml:space="preserve"> dashes (</w:t>
      </w:r>
      <w:r w:rsidRPr="00635E85">
        <w:rPr>
          <w:rFonts w:eastAsia="Times New Roman"/>
          <w:color w:val="4472C4" w:themeColor="accent1"/>
        </w:rPr>
        <w:t>Alt +</w:t>
      </w:r>
      <w:r w:rsidR="00635E85" w:rsidRPr="00635E85">
        <w:rPr>
          <w:rFonts w:eastAsia="Times New Roman"/>
          <w:color w:val="4472C4" w:themeColor="accent1"/>
        </w:rPr>
        <w:t xml:space="preserve"> </w:t>
      </w:r>
      <w:r w:rsidRPr="00635E85">
        <w:rPr>
          <w:rFonts w:eastAsia="Times New Roman"/>
          <w:color w:val="4472C4" w:themeColor="accent1"/>
        </w:rPr>
        <w:t>0151) in figure captions, table titles, and to indicate b</w:t>
      </w:r>
      <w:r w:rsidR="52733EE7" w:rsidRPr="00635E85">
        <w:rPr>
          <w:rFonts w:eastAsia="Times New Roman"/>
          <w:color w:val="4472C4" w:themeColor="accent1"/>
        </w:rPr>
        <w:t>lank spots in tables.</w:t>
      </w:r>
    </w:p>
    <w:sectPr w:rsidR="4185BE22" w:rsidRPr="00635E85" w:rsidSect="000D233E">
      <w:footerReference w:type="even" r:id="rId20"/>
      <w:footerReference w:type="default" r:id="rId21"/>
      <w:headerReference w:type="first" r:id="rId22"/>
      <w:pgSz w:w="11906" w:h="16838" w:code="9"/>
      <w:pgMar w:top="1440" w:right="1440" w:bottom="1440" w:left="1440" w:header="706" w:footer="706" w:gutter="0"/>
      <w:lnNumType w:countBy="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37910" w14:textId="77777777" w:rsidR="00DB5D07" w:rsidRDefault="00DB5D07">
      <w:r>
        <w:separator/>
      </w:r>
    </w:p>
  </w:endnote>
  <w:endnote w:type="continuationSeparator" w:id="0">
    <w:p w14:paraId="4FEE315D" w14:textId="77777777" w:rsidR="00DB5D07" w:rsidRDefault="00DB5D07">
      <w:r>
        <w:continuationSeparator/>
      </w:r>
    </w:p>
  </w:endnote>
  <w:endnote w:type="continuationNotice" w:id="1">
    <w:p w14:paraId="191547BB" w14:textId="77777777" w:rsidR="00DB5D07" w:rsidRDefault="00DB5D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l‚r –¾’©"/>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CA5B2" w14:textId="77777777" w:rsidR="00B13825" w:rsidRDefault="00B138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6D5B7B" w14:textId="77777777" w:rsidR="00B13825" w:rsidRDefault="00B138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1EB0D" w14:textId="77777777" w:rsidR="00B13825" w:rsidRDefault="00B13825">
    <w:pPr>
      <w:pStyle w:val="Footer"/>
      <w:framePr w:wrap="around" w:vAnchor="text" w:hAnchor="margin" w:xAlign="center" w:yAlign="bottom"/>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1C517B">
      <w:rPr>
        <w:rStyle w:val="PageNumber"/>
        <w:noProof/>
      </w:rPr>
      <w:t>8</w:t>
    </w:r>
    <w:r>
      <w:rPr>
        <w:rStyle w:val="PageNumber"/>
      </w:rPr>
      <w:fldChar w:fldCharType="end"/>
    </w:r>
  </w:p>
  <w:p w14:paraId="07832D5D" w14:textId="77777777" w:rsidR="00B13825" w:rsidRDefault="00B13825">
    <w:pPr>
      <w:pStyle w:val="Footer"/>
      <w:framePr w:wrap="around" w:vAnchor="text" w:hAnchor="margin" w:xAlign="center" w:yAlign="bottom"/>
      <w:jc w:val="center"/>
      <w:rPr>
        <w:rStyle w:val="PageNumber"/>
      </w:rPr>
    </w:pPr>
  </w:p>
  <w:p w14:paraId="4E7001E1" w14:textId="77777777" w:rsidR="00B13825" w:rsidRDefault="00B1382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72C6E" w14:textId="77777777" w:rsidR="00DB5D07" w:rsidRDefault="00DB5D07">
      <w:r>
        <w:separator/>
      </w:r>
    </w:p>
  </w:footnote>
  <w:footnote w:type="continuationSeparator" w:id="0">
    <w:p w14:paraId="3C3C78B2" w14:textId="77777777" w:rsidR="00DB5D07" w:rsidRDefault="00DB5D07">
      <w:r>
        <w:continuationSeparator/>
      </w:r>
    </w:p>
  </w:footnote>
  <w:footnote w:type="continuationNotice" w:id="1">
    <w:p w14:paraId="500FF9E9" w14:textId="77777777" w:rsidR="00DB5D07" w:rsidRDefault="00DB5D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0CE24" w14:textId="4D01332D" w:rsidR="000D233E" w:rsidRDefault="000D233E">
    <w:pPr>
      <w:pStyle w:val="Header"/>
    </w:pPr>
    <w:r>
      <w:rPr>
        <w:noProof/>
      </w:rPr>
      <mc:AlternateContent>
        <mc:Choice Requires="wps">
          <w:drawing>
            <wp:anchor distT="0" distB="0" distL="118745" distR="118745" simplePos="0" relativeHeight="251661312" behindDoc="1" locked="0" layoutInCell="1" allowOverlap="0" wp14:anchorId="4215354A" wp14:editId="42AA3FF5">
              <wp:simplePos x="0" y="0"/>
              <wp:positionH relativeFrom="margin">
                <wp:posOffset>0</wp:posOffset>
              </wp:positionH>
              <wp:positionV relativeFrom="page">
                <wp:posOffset>620395</wp:posOffset>
              </wp:positionV>
              <wp:extent cx="6543040" cy="269875"/>
              <wp:effectExtent l="0" t="0" r="0" b="0"/>
              <wp:wrapSquare wrapText="bothSides"/>
              <wp:docPr id="1801246152" name="Rectangle 63"/>
              <wp:cNvGraphicFramePr/>
              <a:graphic xmlns:a="http://schemas.openxmlformats.org/drawingml/2006/main">
                <a:graphicData uri="http://schemas.microsoft.com/office/word/2010/wordprocessingShape">
                  <wps:wsp>
                    <wps:cNvSpPr/>
                    <wps:spPr>
                      <a:xfrm>
                        <a:off x="0" y="0"/>
                        <a:ext cx="6543040"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575978" w14:textId="31930233" w:rsidR="000D233E" w:rsidRPr="00C65A77" w:rsidRDefault="000D233E" w:rsidP="000D233E">
                          <w:pPr>
                            <w:pStyle w:val="BodyText"/>
                            <w:jc w:val="left"/>
                          </w:pPr>
                          <w:r w:rsidRPr="00C65A77">
                            <w:t>(NOTE: Sections of text</w:t>
                          </w:r>
                          <w:r w:rsidR="009746DF">
                            <w:t>—</w:t>
                          </w:r>
                          <w:r w:rsidRPr="00C65A77">
                            <w:t>as well as equations, tables, and figures</w:t>
                          </w:r>
                          <w:r w:rsidR="009746DF">
                            <w:t>—</w:t>
                          </w:r>
                          <w:r w:rsidRPr="00C65A77">
                            <w:t>have been altered and included from different manuscripts for the purpose of format illustration ONLY.</w:t>
                          </w:r>
                        </w:p>
                        <w:p w14:paraId="78104F4B" w14:textId="003898A0" w:rsidR="000D233E" w:rsidRDefault="000D233E" w:rsidP="000D233E">
                          <w:pPr>
                            <w:pStyle w:val="BodyText"/>
                            <w:jc w:val="left"/>
                            <w:rPr>
                              <w:caps/>
                              <w:color w:val="FFFFFF" w:themeColor="background1"/>
                            </w:rPr>
                          </w:pPr>
                          <w:r w:rsidRPr="00C65A77">
                            <w:rPr>
                              <w:u w:val="single"/>
                            </w:rPr>
                            <w:t xml:space="preserve">This </w:t>
                          </w:r>
                          <w:r w:rsidR="001B138D">
                            <w:rPr>
                              <w:u w:val="single"/>
                            </w:rPr>
                            <w:t>document</w:t>
                          </w:r>
                          <w:r w:rsidRPr="00C65A77">
                            <w:rPr>
                              <w:u w:val="single"/>
                            </w:rPr>
                            <w:t xml:space="preserve"> can be used as a template to copy and paste your manuscript titles and sections.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w:pict>
            <v:rect w14:anchorId="4215354A" id="Rectangle 63" o:spid="_x0000_s1026" style="position:absolute;margin-left:0;margin-top:48.85pt;width:515.2pt;height:21.25pt;z-index:-251655168;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" o:allowoverlap="f" fillcolor="#4472c4 [3204]" stroked="f" strokeweight="1pt">
              <v:textbox style="mso-fit-shape-to-text:t">
                <w:txbxContent>
                  <w:p w14:paraId="7E575978" w14:textId="31930233" w:rsidR="000D233E" w:rsidRPr="00C65A77" w:rsidRDefault="000D233E" w:rsidP="000D233E">
                    <w:pPr>
                      <w:pStyle w:val="BodyText"/>
                      <w:jc w:val="left"/>
                    </w:pPr>
                    <w:r w:rsidRPr="00C65A77">
                      <w:t>(NOTE: Sections of text</w:t>
                    </w:r>
                    <w:r w:rsidR="009746DF">
                      <w:t>—</w:t>
                    </w:r>
                    <w:r w:rsidRPr="00C65A77">
                      <w:t>as well as equations, tables, and figures</w:t>
                    </w:r>
                    <w:r w:rsidR="009746DF">
                      <w:t>—</w:t>
                    </w:r>
                    <w:r w:rsidRPr="00C65A77">
                      <w:t>have been altered and included from different manuscripts for the purpose of format illustration ONLY.</w:t>
                    </w:r>
                  </w:p>
                  <w:p w14:paraId="78104F4B" w14:textId="003898A0" w:rsidR="000D233E" w:rsidRDefault="000D233E" w:rsidP="000D233E">
                    <w:pPr>
                      <w:pStyle w:val="BodyText"/>
                      <w:jc w:val="left"/>
                      <w:rPr>
                        <w:caps/>
                        <w:color w:val="FFFFFF" w:themeColor="background1"/>
                      </w:rPr>
                    </w:pPr>
                    <w:r w:rsidRPr="00C65A77">
                      <w:rPr>
                        <w:u w:val="single"/>
                      </w:rPr>
                      <w:t xml:space="preserve">This </w:t>
                    </w:r>
                    <w:r w:rsidR="001B138D">
                      <w:rPr>
                        <w:u w:val="single"/>
                      </w:rPr>
                      <w:t>document</w:t>
                    </w:r>
                    <w:r w:rsidRPr="00C65A77">
                      <w:rPr>
                        <w:u w:val="single"/>
                      </w:rPr>
                      <w:t xml:space="preserve"> can be used as a template to copy and paste your manuscript titles and sections.</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4658E"/>
    <w:multiLevelType w:val="hybridMultilevel"/>
    <w:tmpl w:val="742E80C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1362409"/>
    <w:multiLevelType w:val="hybridMultilevel"/>
    <w:tmpl w:val="DBC000BC"/>
    <w:lvl w:ilvl="0" w:tplc="8E48ED5E">
      <w:start w:val="1"/>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CF177B"/>
    <w:multiLevelType w:val="hybridMultilevel"/>
    <w:tmpl w:val="B89482C0"/>
    <w:lvl w:ilvl="0" w:tplc="641CFA56">
      <w:start w:val="1"/>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F43685"/>
    <w:multiLevelType w:val="hybridMultilevel"/>
    <w:tmpl w:val="76063BD0"/>
    <w:lvl w:ilvl="0" w:tplc="641CFA56">
      <w:start w:val="1"/>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D51C10"/>
    <w:multiLevelType w:val="hybridMultilevel"/>
    <w:tmpl w:val="EAD0D80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A012BC3"/>
    <w:multiLevelType w:val="hybridMultilevel"/>
    <w:tmpl w:val="81D2D58C"/>
    <w:lvl w:ilvl="0" w:tplc="641CFA56">
      <w:start w:val="1"/>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288497E"/>
    <w:multiLevelType w:val="hybridMultilevel"/>
    <w:tmpl w:val="316C6C60"/>
    <w:lvl w:ilvl="0" w:tplc="DDA0E1E8">
      <w:start w:val="1"/>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18C5321"/>
    <w:multiLevelType w:val="hybridMultilevel"/>
    <w:tmpl w:val="A1A011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195765"/>
    <w:multiLevelType w:val="hybridMultilevel"/>
    <w:tmpl w:val="1C16F8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4516865"/>
    <w:multiLevelType w:val="hybridMultilevel"/>
    <w:tmpl w:val="8EA262BA"/>
    <w:lvl w:ilvl="0" w:tplc="F4089640">
      <w:start w:val="1"/>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B046FD6"/>
    <w:multiLevelType w:val="hybridMultilevel"/>
    <w:tmpl w:val="184A33D8"/>
    <w:lvl w:ilvl="0" w:tplc="6BC60B8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6D5221F8"/>
    <w:multiLevelType w:val="hybridMultilevel"/>
    <w:tmpl w:val="BB4C06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EFE3542"/>
    <w:multiLevelType w:val="hybridMultilevel"/>
    <w:tmpl w:val="C78CECC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225576057">
    <w:abstractNumId w:val="6"/>
  </w:num>
  <w:num w:numId="2" w16cid:durableId="792093696">
    <w:abstractNumId w:val="12"/>
  </w:num>
  <w:num w:numId="3" w16cid:durableId="252785937">
    <w:abstractNumId w:val="4"/>
  </w:num>
  <w:num w:numId="4" w16cid:durableId="1276849">
    <w:abstractNumId w:val="0"/>
  </w:num>
  <w:num w:numId="5" w16cid:durableId="686374171">
    <w:abstractNumId w:val="1"/>
  </w:num>
  <w:num w:numId="6" w16cid:durableId="1475180275">
    <w:abstractNumId w:val="7"/>
  </w:num>
  <w:num w:numId="7" w16cid:durableId="1108544138">
    <w:abstractNumId w:val="3"/>
  </w:num>
  <w:num w:numId="8" w16cid:durableId="149912518">
    <w:abstractNumId w:val="11"/>
  </w:num>
  <w:num w:numId="9" w16cid:durableId="282427214">
    <w:abstractNumId w:val="2"/>
  </w:num>
  <w:num w:numId="10" w16cid:durableId="2110736373">
    <w:abstractNumId w:val="9"/>
  </w:num>
  <w:num w:numId="11" w16cid:durableId="1240940798">
    <w:abstractNumId w:val="5"/>
  </w:num>
  <w:num w:numId="12" w16cid:durableId="1774669158">
    <w:abstractNumId w:val="10"/>
  </w:num>
  <w:num w:numId="13" w16cid:durableId="4201047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I0NTazMDY1MjcDQiUdpeDU4uLM/DyQAsNaAD5tYmQsAAAA"/>
  </w:docVars>
  <w:rsids>
    <w:rsidRoot w:val="00EC4DA3"/>
    <w:rsid w:val="00005906"/>
    <w:rsid w:val="00005AA3"/>
    <w:rsid w:val="00016D7C"/>
    <w:rsid w:val="00023514"/>
    <w:rsid w:val="000249B8"/>
    <w:rsid w:val="00036E0B"/>
    <w:rsid w:val="000750CE"/>
    <w:rsid w:val="00087173"/>
    <w:rsid w:val="0009208A"/>
    <w:rsid w:val="000A6B93"/>
    <w:rsid w:val="000D2146"/>
    <w:rsid w:val="000D233E"/>
    <w:rsid w:val="000D2D24"/>
    <w:rsid w:val="000E60DC"/>
    <w:rsid w:val="000F4035"/>
    <w:rsid w:val="000F5E6E"/>
    <w:rsid w:val="000F739D"/>
    <w:rsid w:val="001116E3"/>
    <w:rsid w:val="0011510A"/>
    <w:rsid w:val="00116318"/>
    <w:rsid w:val="0013703F"/>
    <w:rsid w:val="00150516"/>
    <w:rsid w:val="0016125C"/>
    <w:rsid w:val="001869CE"/>
    <w:rsid w:val="00191909"/>
    <w:rsid w:val="00196B75"/>
    <w:rsid w:val="001B138D"/>
    <w:rsid w:val="001B609D"/>
    <w:rsid w:val="001C517B"/>
    <w:rsid w:val="001C6920"/>
    <w:rsid w:val="001D41C5"/>
    <w:rsid w:val="001D6E46"/>
    <w:rsid w:val="00223ABC"/>
    <w:rsid w:val="002453A0"/>
    <w:rsid w:val="00246FAF"/>
    <w:rsid w:val="0027366D"/>
    <w:rsid w:val="002947FC"/>
    <w:rsid w:val="00297763"/>
    <w:rsid w:val="002978B9"/>
    <w:rsid w:val="002A5E58"/>
    <w:rsid w:val="003103E7"/>
    <w:rsid w:val="00330CE9"/>
    <w:rsid w:val="00337FE9"/>
    <w:rsid w:val="00364DE5"/>
    <w:rsid w:val="003721A5"/>
    <w:rsid w:val="00397B28"/>
    <w:rsid w:val="003A4CD8"/>
    <w:rsid w:val="003A7574"/>
    <w:rsid w:val="003D2DC1"/>
    <w:rsid w:val="00441DBA"/>
    <w:rsid w:val="00442599"/>
    <w:rsid w:val="00460A1E"/>
    <w:rsid w:val="0046171C"/>
    <w:rsid w:val="00467C8B"/>
    <w:rsid w:val="0049037C"/>
    <w:rsid w:val="00494985"/>
    <w:rsid w:val="004B12FE"/>
    <w:rsid w:val="004B70D6"/>
    <w:rsid w:val="004C0012"/>
    <w:rsid w:val="004C4672"/>
    <w:rsid w:val="004D59B3"/>
    <w:rsid w:val="004D7E70"/>
    <w:rsid w:val="004E38D0"/>
    <w:rsid w:val="004E7E9B"/>
    <w:rsid w:val="00501279"/>
    <w:rsid w:val="005077EE"/>
    <w:rsid w:val="00511DE6"/>
    <w:rsid w:val="005139D2"/>
    <w:rsid w:val="00522156"/>
    <w:rsid w:val="00551CFC"/>
    <w:rsid w:val="0055515C"/>
    <w:rsid w:val="00574DA9"/>
    <w:rsid w:val="00574F66"/>
    <w:rsid w:val="00576510"/>
    <w:rsid w:val="00591269"/>
    <w:rsid w:val="005A2F03"/>
    <w:rsid w:val="005A5845"/>
    <w:rsid w:val="005A59A3"/>
    <w:rsid w:val="005A62A2"/>
    <w:rsid w:val="005C6A1B"/>
    <w:rsid w:val="005F3CC9"/>
    <w:rsid w:val="00605651"/>
    <w:rsid w:val="00611ED2"/>
    <w:rsid w:val="00626165"/>
    <w:rsid w:val="00635E85"/>
    <w:rsid w:val="00636510"/>
    <w:rsid w:val="00643D00"/>
    <w:rsid w:val="00650547"/>
    <w:rsid w:val="00662F82"/>
    <w:rsid w:val="00666231"/>
    <w:rsid w:val="00680051"/>
    <w:rsid w:val="006A5326"/>
    <w:rsid w:val="006C4A48"/>
    <w:rsid w:val="006D370C"/>
    <w:rsid w:val="006E5020"/>
    <w:rsid w:val="006E5BE0"/>
    <w:rsid w:val="00703A4E"/>
    <w:rsid w:val="00707BEA"/>
    <w:rsid w:val="00710383"/>
    <w:rsid w:val="00720179"/>
    <w:rsid w:val="00725513"/>
    <w:rsid w:val="00752A81"/>
    <w:rsid w:val="007604FF"/>
    <w:rsid w:val="00760D35"/>
    <w:rsid w:val="00762E62"/>
    <w:rsid w:val="0076484F"/>
    <w:rsid w:val="00764CD6"/>
    <w:rsid w:val="00792A34"/>
    <w:rsid w:val="007A312F"/>
    <w:rsid w:val="00815F80"/>
    <w:rsid w:val="00830413"/>
    <w:rsid w:val="00845541"/>
    <w:rsid w:val="00853CB5"/>
    <w:rsid w:val="00856490"/>
    <w:rsid w:val="00866081"/>
    <w:rsid w:val="00873622"/>
    <w:rsid w:val="00885B20"/>
    <w:rsid w:val="00887B21"/>
    <w:rsid w:val="008953B2"/>
    <w:rsid w:val="008A5E9C"/>
    <w:rsid w:val="008A6234"/>
    <w:rsid w:val="008A751D"/>
    <w:rsid w:val="008C1B38"/>
    <w:rsid w:val="008E205D"/>
    <w:rsid w:val="008E2B4E"/>
    <w:rsid w:val="008F7B6B"/>
    <w:rsid w:val="00905516"/>
    <w:rsid w:val="00924F8C"/>
    <w:rsid w:val="00931723"/>
    <w:rsid w:val="00945066"/>
    <w:rsid w:val="00946D7E"/>
    <w:rsid w:val="00951F2C"/>
    <w:rsid w:val="009746DF"/>
    <w:rsid w:val="0098753A"/>
    <w:rsid w:val="009962FC"/>
    <w:rsid w:val="009A5B25"/>
    <w:rsid w:val="009B709F"/>
    <w:rsid w:val="009F1F77"/>
    <w:rsid w:val="00A150FE"/>
    <w:rsid w:val="00A32E9C"/>
    <w:rsid w:val="00A46DEF"/>
    <w:rsid w:val="00A56862"/>
    <w:rsid w:val="00A80CD4"/>
    <w:rsid w:val="00AA6537"/>
    <w:rsid w:val="00AD54FF"/>
    <w:rsid w:val="00AE58CB"/>
    <w:rsid w:val="00AE694B"/>
    <w:rsid w:val="00AF0EEF"/>
    <w:rsid w:val="00AF3CF8"/>
    <w:rsid w:val="00B00B11"/>
    <w:rsid w:val="00B119D2"/>
    <w:rsid w:val="00B13825"/>
    <w:rsid w:val="00B31EDE"/>
    <w:rsid w:val="00B5464C"/>
    <w:rsid w:val="00B725C3"/>
    <w:rsid w:val="00B7268F"/>
    <w:rsid w:val="00B763D8"/>
    <w:rsid w:val="00B839DB"/>
    <w:rsid w:val="00B967CA"/>
    <w:rsid w:val="00BA775E"/>
    <w:rsid w:val="00BB009B"/>
    <w:rsid w:val="00BB57ED"/>
    <w:rsid w:val="00BC5EBB"/>
    <w:rsid w:val="00BF3634"/>
    <w:rsid w:val="00C01A23"/>
    <w:rsid w:val="00C143AA"/>
    <w:rsid w:val="00C22C2F"/>
    <w:rsid w:val="00C34372"/>
    <w:rsid w:val="00C43EBE"/>
    <w:rsid w:val="00C531C9"/>
    <w:rsid w:val="00C65A77"/>
    <w:rsid w:val="00C65E12"/>
    <w:rsid w:val="00C705DF"/>
    <w:rsid w:val="00C84686"/>
    <w:rsid w:val="00CA29D1"/>
    <w:rsid w:val="00CB2658"/>
    <w:rsid w:val="00CF78D3"/>
    <w:rsid w:val="00D003A5"/>
    <w:rsid w:val="00D058ED"/>
    <w:rsid w:val="00D17097"/>
    <w:rsid w:val="00D3232D"/>
    <w:rsid w:val="00D4417E"/>
    <w:rsid w:val="00D71EA3"/>
    <w:rsid w:val="00D74FB2"/>
    <w:rsid w:val="00D97F33"/>
    <w:rsid w:val="00DB3F08"/>
    <w:rsid w:val="00DB5D07"/>
    <w:rsid w:val="00DC694A"/>
    <w:rsid w:val="00DD349C"/>
    <w:rsid w:val="00DD4560"/>
    <w:rsid w:val="00DD4D83"/>
    <w:rsid w:val="00DE7B5E"/>
    <w:rsid w:val="00DF5110"/>
    <w:rsid w:val="00DF659F"/>
    <w:rsid w:val="00E00639"/>
    <w:rsid w:val="00E115F7"/>
    <w:rsid w:val="00E33121"/>
    <w:rsid w:val="00E4511B"/>
    <w:rsid w:val="00E65029"/>
    <w:rsid w:val="00E67ADA"/>
    <w:rsid w:val="00E72A0B"/>
    <w:rsid w:val="00E74F07"/>
    <w:rsid w:val="00E75C77"/>
    <w:rsid w:val="00E8408C"/>
    <w:rsid w:val="00E84B97"/>
    <w:rsid w:val="00E852D8"/>
    <w:rsid w:val="00E855C2"/>
    <w:rsid w:val="00EB65FC"/>
    <w:rsid w:val="00EC4DA3"/>
    <w:rsid w:val="00ED0610"/>
    <w:rsid w:val="00EF021A"/>
    <w:rsid w:val="00F17DEB"/>
    <w:rsid w:val="00F23FDF"/>
    <w:rsid w:val="00F27E77"/>
    <w:rsid w:val="00F3175E"/>
    <w:rsid w:val="00F43201"/>
    <w:rsid w:val="00F817E5"/>
    <w:rsid w:val="00F85C49"/>
    <w:rsid w:val="00F87CD8"/>
    <w:rsid w:val="00FA3347"/>
    <w:rsid w:val="00FA4EA1"/>
    <w:rsid w:val="00FB11FB"/>
    <w:rsid w:val="00FB480E"/>
    <w:rsid w:val="00FC1356"/>
    <w:rsid w:val="00FC47F2"/>
    <w:rsid w:val="00FD53E5"/>
    <w:rsid w:val="00FF37BF"/>
    <w:rsid w:val="02DC88D8"/>
    <w:rsid w:val="02EC7664"/>
    <w:rsid w:val="06AC9A76"/>
    <w:rsid w:val="07DDB8D0"/>
    <w:rsid w:val="085E6C26"/>
    <w:rsid w:val="0D784FA5"/>
    <w:rsid w:val="0F9AF303"/>
    <w:rsid w:val="13865BBB"/>
    <w:rsid w:val="14E9B72E"/>
    <w:rsid w:val="15FA7DA7"/>
    <w:rsid w:val="1A3C0F24"/>
    <w:rsid w:val="1D9CA4B9"/>
    <w:rsid w:val="1F815643"/>
    <w:rsid w:val="1FD60002"/>
    <w:rsid w:val="1FE51C72"/>
    <w:rsid w:val="20D70EFE"/>
    <w:rsid w:val="21E0AC7B"/>
    <w:rsid w:val="22B95559"/>
    <w:rsid w:val="22D31091"/>
    <w:rsid w:val="23F9A9EA"/>
    <w:rsid w:val="24F12F4C"/>
    <w:rsid w:val="250FBF20"/>
    <w:rsid w:val="2652C403"/>
    <w:rsid w:val="26FE621D"/>
    <w:rsid w:val="2C96D214"/>
    <w:rsid w:val="2CCEBAA7"/>
    <w:rsid w:val="2D49780B"/>
    <w:rsid w:val="306B8BEC"/>
    <w:rsid w:val="314D6D83"/>
    <w:rsid w:val="32986046"/>
    <w:rsid w:val="37E3A373"/>
    <w:rsid w:val="3B62C9CA"/>
    <w:rsid w:val="3CB06C8A"/>
    <w:rsid w:val="3E784881"/>
    <w:rsid w:val="3EFB9427"/>
    <w:rsid w:val="404DCCD6"/>
    <w:rsid w:val="414ED608"/>
    <w:rsid w:val="4185BE22"/>
    <w:rsid w:val="41A12E68"/>
    <w:rsid w:val="41C28FAB"/>
    <w:rsid w:val="46EC047A"/>
    <w:rsid w:val="4D6429E0"/>
    <w:rsid w:val="5004C5C7"/>
    <w:rsid w:val="511AF4A2"/>
    <w:rsid w:val="52733EE7"/>
    <w:rsid w:val="52DF2D1D"/>
    <w:rsid w:val="52E177AE"/>
    <w:rsid w:val="53127FBA"/>
    <w:rsid w:val="53BE2FF6"/>
    <w:rsid w:val="53C03D67"/>
    <w:rsid w:val="55E553D3"/>
    <w:rsid w:val="56F3157A"/>
    <w:rsid w:val="5798640B"/>
    <w:rsid w:val="59FF280B"/>
    <w:rsid w:val="5ACB2076"/>
    <w:rsid w:val="62920115"/>
    <w:rsid w:val="629BEDCE"/>
    <w:rsid w:val="6426D616"/>
    <w:rsid w:val="66E7C7CF"/>
    <w:rsid w:val="67E5A89B"/>
    <w:rsid w:val="684091C9"/>
    <w:rsid w:val="6A39FEE3"/>
    <w:rsid w:val="6BA870C6"/>
    <w:rsid w:val="6BD97C4B"/>
    <w:rsid w:val="6C58F366"/>
    <w:rsid w:val="6CD6A6C5"/>
    <w:rsid w:val="6D882E2C"/>
    <w:rsid w:val="70CEBADD"/>
    <w:rsid w:val="71588F76"/>
    <w:rsid w:val="716D8E7B"/>
    <w:rsid w:val="75D40B1E"/>
    <w:rsid w:val="778FB803"/>
    <w:rsid w:val="796A8AB2"/>
    <w:rsid w:val="79E78454"/>
    <w:rsid w:val="7A46109D"/>
    <w:rsid w:val="7C787075"/>
    <w:rsid w:val="7F107B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1B3F4F26"/>
  <w15:chartTrackingRefBased/>
  <w15:docId w15:val="{3F22200D-9BED-47B9-9F5F-97C8542E7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ja-JP"/>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spacing w:line="257" w:lineRule="atLeast"/>
      <w:jc w:val="center"/>
      <w:outlineLvl w:val="1"/>
    </w:pPr>
    <w:rPr>
      <w:b/>
      <w:snapToGrid w:val="0"/>
      <w:szCs w:val="20"/>
      <w:lang w:eastAsia="en-US"/>
    </w:rPr>
  </w:style>
  <w:style w:type="paragraph" w:styleId="Heading3">
    <w:name w:val="heading 3"/>
    <w:basedOn w:val="Normal"/>
    <w:next w:val="Normal"/>
    <w:qFormat/>
    <w:pPr>
      <w:keepNext/>
      <w:ind w:firstLine="1134"/>
      <w:jc w:val="center"/>
      <w:outlineLvl w:val="2"/>
    </w:pPr>
    <w:rPr>
      <w:b/>
    </w:rPr>
  </w:style>
  <w:style w:type="paragraph" w:styleId="Heading4">
    <w:name w:val="heading 4"/>
    <w:basedOn w:val="Normal"/>
    <w:next w:val="Normal"/>
    <w:qFormat/>
    <w:pPr>
      <w:keepNext/>
      <w:spacing w:line="480" w:lineRule="auto"/>
      <w:jc w:val="center"/>
      <w:outlineLvl w:val="3"/>
    </w:pPr>
    <w:rPr>
      <w:b/>
      <w:bCs/>
    </w:rPr>
  </w:style>
  <w:style w:type="paragraph" w:styleId="Heading7">
    <w:name w:val="heading 7"/>
    <w:basedOn w:val="Normal"/>
    <w:next w:val="Normal"/>
    <w:qFormat/>
    <w:pPr>
      <w:keepNext/>
      <w:widowControl w:val="0"/>
      <w:spacing w:line="257" w:lineRule="atLeast"/>
      <w:jc w:val="center"/>
      <w:outlineLvl w:val="6"/>
    </w:pPr>
    <w:rPr>
      <w:snapToGrid w:val="0"/>
      <w:szCs w:val="20"/>
    </w:rPr>
  </w:style>
  <w:style w:type="paragraph" w:styleId="Heading8">
    <w:name w:val="heading 8"/>
    <w:basedOn w:val="Normal"/>
    <w:next w:val="Normal"/>
    <w:qFormat/>
    <w:pPr>
      <w:keepNext/>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style>
  <w:style w:type="paragraph" w:styleId="BodyTextIndent2">
    <w:name w:val="Body Text Indent 2"/>
    <w:basedOn w:val="Normal"/>
    <w:pPr>
      <w:widowControl w:val="0"/>
      <w:spacing w:line="360" w:lineRule="auto"/>
      <w:ind w:firstLine="1134"/>
      <w:jc w:val="both"/>
    </w:pPr>
    <w:rPr>
      <w:snapToGrid w:val="0"/>
      <w:szCs w:val="20"/>
    </w:rPr>
  </w:style>
  <w:style w:type="paragraph" w:styleId="BodyTextIndent">
    <w:name w:val="Body Text Indent"/>
    <w:basedOn w:val="Normal"/>
    <w:pPr>
      <w:ind w:firstLine="546"/>
      <w:jc w:val="both"/>
    </w:pPr>
  </w:style>
  <w:style w:type="paragraph" w:styleId="Header">
    <w:name w:val="header"/>
    <w:basedOn w:val="Normal"/>
    <w:link w:val="HeaderChar"/>
    <w:uiPriority w:val="99"/>
    <w:pPr>
      <w:tabs>
        <w:tab w:val="center" w:pos="4252"/>
        <w:tab w:val="right" w:pos="8504"/>
      </w:tabs>
    </w:pPr>
  </w:style>
  <w:style w:type="character" w:styleId="Hyperlink">
    <w:name w:val="Hyperlink"/>
    <w:rPr>
      <w:color w:val="0000FF"/>
      <w:u w:val="single"/>
    </w:rPr>
  </w:style>
  <w:style w:type="character" w:styleId="LineNumber">
    <w:name w:val="line number"/>
    <w:basedOn w:val="DefaultParagraphFont"/>
  </w:style>
  <w:style w:type="paragraph" w:styleId="BodyTextIndent3">
    <w:name w:val="Body Text Indent 3"/>
    <w:basedOn w:val="Normal"/>
    <w:pPr>
      <w:widowControl w:val="0"/>
      <w:spacing w:line="257" w:lineRule="atLeast"/>
      <w:ind w:left="360"/>
      <w:jc w:val="center"/>
    </w:pPr>
    <w:rPr>
      <w:snapToGrid w:val="0"/>
      <w:szCs w:val="20"/>
    </w:rPr>
  </w:style>
  <w:style w:type="paragraph" w:styleId="BodyText2">
    <w:name w:val="Body Text 2"/>
    <w:basedOn w:val="Normal"/>
    <w:link w:val="BodyText2Char"/>
    <w:pPr>
      <w:widowControl w:val="0"/>
      <w:spacing w:line="257" w:lineRule="atLeast"/>
      <w:jc w:val="both"/>
    </w:pPr>
    <w:rPr>
      <w:snapToGrid w:val="0"/>
      <w:szCs w:val="20"/>
    </w:rPr>
  </w:style>
  <w:style w:type="paragraph" w:styleId="Footer">
    <w:name w:val="footer"/>
    <w:basedOn w:val="Normal"/>
    <w:pPr>
      <w:tabs>
        <w:tab w:val="center" w:pos="4252"/>
        <w:tab w:val="right" w:pos="8504"/>
      </w:tabs>
    </w:pPr>
  </w:style>
  <w:style w:type="character" w:styleId="PageNumber">
    <w:name w:val="page number"/>
    <w:basedOn w:val="DefaultParagraphFont"/>
  </w:style>
  <w:style w:type="character" w:styleId="FollowedHyperlink">
    <w:name w:val="FollowedHyperlink"/>
    <w:rPr>
      <w:color w:val="800080"/>
      <w:u w:val="single"/>
    </w:rPr>
  </w:style>
  <w:style w:type="paragraph" w:styleId="BodyText3">
    <w:name w:val="Body Text 3"/>
    <w:basedOn w:val="Normal"/>
    <w:pPr>
      <w:jc w:val="both"/>
    </w:pPr>
    <w:rPr>
      <w:u w:val="single"/>
    </w:rPr>
  </w:style>
  <w:style w:type="paragraph" w:styleId="BalloonText">
    <w:name w:val="Balloon Text"/>
    <w:basedOn w:val="Normal"/>
    <w:semiHidden/>
    <w:rsid w:val="00EC4DA3"/>
    <w:rPr>
      <w:rFonts w:ascii="Tahoma" w:hAnsi="Tahoma" w:cs="Tahoma"/>
      <w:sz w:val="16"/>
      <w:szCs w:val="16"/>
    </w:rPr>
  </w:style>
  <w:style w:type="paragraph" w:styleId="Revision">
    <w:name w:val="Revision"/>
    <w:hidden/>
    <w:uiPriority w:val="99"/>
    <w:semiHidden/>
    <w:rsid w:val="000E60DC"/>
    <w:rPr>
      <w:sz w:val="24"/>
      <w:szCs w:val="24"/>
      <w:lang w:eastAsia="ja-JP"/>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eastAsia="ja-JP"/>
    </w:rPr>
  </w:style>
  <w:style w:type="character" w:styleId="CommentReference">
    <w:name w:val="annotation reference"/>
    <w:basedOn w:val="DefaultParagraphFont"/>
    <w:uiPriority w:val="99"/>
    <w:semiHidden/>
    <w:unhideWhenUsed/>
    <w:rPr>
      <w:sz w:val="16"/>
      <w:szCs w:val="16"/>
    </w:rPr>
  </w:style>
  <w:style w:type="paragraph" w:customStyle="1" w:styleId="EQUATION">
    <w:name w:val="EQUATION"/>
    <w:qFormat/>
    <w:rsid w:val="008A5E9C"/>
    <w:pPr>
      <w:spacing w:before="240" w:after="240" w:line="360" w:lineRule="auto"/>
      <w:jc w:val="center"/>
    </w:pPr>
    <w:rPr>
      <w:sz w:val="22"/>
      <w:szCs w:val="24"/>
      <w:lang w:eastAsia="ja-JP"/>
    </w:rPr>
  </w:style>
  <w:style w:type="character" w:customStyle="1" w:styleId="BodyText2Char">
    <w:name w:val="Body Text 2 Char"/>
    <w:basedOn w:val="DefaultParagraphFont"/>
    <w:link w:val="BodyText2"/>
    <w:rsid w:val="00D058ED"/>
    <w:rPr>
      <w:snapToGrid w:val="0"/>
      <w:sz w:val="24"/>
      <w:lang w:eastAsia="ja-JP"/>
    </w:rPr>
  </w:style>
  <w:style w:type="character" w:customStyle="1" w:styleId="HeaderChar">
    <w:name w:val="Header Char"/>
    <w:basedOn w:val="DefaultParagraphFont"/>
    <w:link w:val="Header"/>
    <w:uiPriority w:val="99"/>
    <w:rsid w:val="00C65A77"/>
    <w:rPr>
      <w:sz w:val="24"/>
      <w:szCs w:val="24"/>
      <w:lang w:eastAsia="ja-JP"/>
    </w:rPr>
  </w:style>
  <w:style w:type="character" w:customStyle="1" w:styleId="BodyTextChar">
    <w:name w:val="Body Text Char"/>
    <w:basedOn w:val="DefaultParagraphFont"/>
    <w:link w:val="BodyText"/>
    <w:rsid w:val="00C65A77"/>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oleObject" Target="embeddings/oleObject4.bin"/><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oleObject" Target="embeddings/oleObject3.bin"/><Relationship Id="rId23"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image" Target="media/image6.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6d9b6bc-e845-47a0-9ce1-a5b4c8316482" xsi:nil="true"/>
    <PublishingExpirationDate xmlns="http://schemas.microsoft.com/sharepoint/v3" xsi:nil="true"/>
    <PublishingStartDate xmlns="http://schemas.microsoft.com/sharepoint/v3" xsi:nil="true"/>
    <lcf76f155ced4ddcb4097134ff3c332f xmlns="dde46755-4ace-4937-be70-63cfaa3dd72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A7959AD39AAD4FB1F3C5BB8C469D8F" ma:contentTypeVersion="20" ma:contentTypeDescription="Create a new document." ma:contentTypeScope="" ma:versionID="9bdd918d90cf6a19f56f8eefc5bb0a98">
  <xsd:schema xmlns:xsd="http://www.w3.org/2001/XMLSchema" xmlns:xs="http://www.w3.org/2001/XMLSchema" xmlns:p="http://schemas.microsoft.com/office/2006/metadata/properties" xmlns:ns1="http://schemas.microsoft.com/sharepoint/v3" xmlns:ns2="dde46755-4ace-4937-be70-63cfaa3dd72e" xmlns:ns3="e6d9b6bc-e845-47a0-9ce1-a5b4c8316482" targetNamespace="http://schemas.microsoft.com/office/2006/metadata/properties" ma:root="true" ma:fieldsID="0c5ae30572ea0006ac9db971d09a5e35" ns1:_="" ns2:_="" ns3:_="">
    <xsd:import namespace="http://schemas.microsoft.com/sharepoint/v3"/>
    <xsd:import namespace="dde46755-4ace-4937-be70-63cfaa3dd72e"/>
    <xsd:import namespace="e6d9b6bc-e845-47a0-9ce1-a5b4c8316482"/>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e46755-4ace-4937-be70-63cfaa3dd7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37e248a-833c-4064-8741-97d52dfc76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d9b6bc-e845-47a0-9ce1-a5b4c8316482"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bd68ab4-ad63-4c32-90a2-508d08337c15}" ma:internalName="TaxCatchAll" ma:showField="CatchAllData" ma:web="e6d9b6bc-e845-47a0-9ce1-a5b4c83164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EAE6B9-0D6C-40D3-8B26-4D815AEF7330}">
  <ds:schemaRefs>
    <ds:schemaRef ds:uri="http://schemas.microsoft.com/office/2006/metadata/properties"/>
    <ds:schemaRef ds:uri="http://schemas.microsoft.com/office/infopath/2007/PartnerControls"/>
    <ds:schemaRef ds:uri="e6d9b6bc-e845-47a0-9ce1-a5b4c8316482"/>
    <ds:schemaRef ds:uri="http://schemas.microsoft.com/sharepoint/v3"/>
    <ds:schemaRef ds:uri="dde46755-4ace-4937-be70-63cfaa3dd72e"/>
  </ds:schemaRefs>
</ds:datastoreItem>
</file>

<file path=customXml/itemProps2.xml><?xml version="1.0" encoding="utf-8"?>
<ds:datastoreItem xmlns:ds="http://schemas.openxmlformats.org/officeDocument/2006/customXml" ds:itemID="{79AC9F6D-1631-4B78-A54D-41907B9D0A96}">
  <ds:schemaRefs>
    <ds:schemaRef ds:uri="http://schemas.microsoft.com/sharepoint/v3/contenttype/forms"/>
  </ds:schemaRefs>
</ds:datastoreItem>
</file>

<file path=customXml/itemProps3.xml><?xml version="1.0" encoding="utf-8"?>
<ds:datastoreItem xmlns:ds="http://schemas.openxmlformats.org/officeDocument/2006/customXml" ds:itemID="{040FCC57-C036-4B60-8B98-C44B33211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e46755-4ace-4937-be70-63cfaa3dd72e"/>
    <ds:schemaRef ds:uri="e6d9b6bc-e845-47a0-9ce1-a5b4c8316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13</Pages>
  <Words>2655</Words>
  <Characters>14819</Characters>
  <Application>Microsoft Office Word</Application>
  <DocSecurity>0</DocSecurity>
  <Lines>239</Lines>
  <Paragraphs>86</Paragraphs>
  <ScaleCrop>false</ScaleCrop>
  <Company>PHRI</Company>
  <LinksUpToDate>false</LinksUpToDate>
  <CharactersWithSpaces>17388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of Different Water Reducing Chemical Admixtures</dc:title>
  <dc:subject/>
  <dc:creator>tarek</dc:creator>
  <cp:keywords/>
  <dc:description/>
  <cp:lastModifiedBy>Kelli Slayden</cp:lastModifiedBy>
  <cp:revision>128</cp:revision>
  <cp:lastPrinted>2005-04-11T17:43:00Z</cp:lastPrinted>
  <dcterms:created xsi:type="dcterms:W3CDTF">2024-10-21T13:51:00Z</dcterms:created>
  <dcterms:modified xsi:type="dcterms:W3CDTF">2024-10-25T19:14:00Z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0x01010044A7959AD39AAD4FB1F3C5BB8C469D8F</vt:lpwstr>
  </property>
  <property fmtid="{D5CDD505-2E9C-101B-9397-08002B2CF9AE}" pid="3" name="MediaServiceImageTags">
    <vt:lpwstr/>
  </property>
</Properties>
</file>